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aps/>
          <w:color w:val="1A1A2E"/>
          <w:sz w:val="26"/>
          <w:szCs w:val="26"/>
        </w:rPr>
        <w:t xml:space="preserve">NOTICE OF ACTIVE FEDERAL PROCEEDINGS</w:t>
      </w:r>
    </w:p>
    <w:p>
      <w:pPr>
        <w:spacing w:before="0" w:after="160"/>
        <w:jc w:val="center"/>
      </w:pPr>
      <w:r>
        <w:rPr>
          <w:rFonts w:ascii="Arial" w:cs="Arial" w:eastAsia="Arial" w:hAnsi="Arial"/>
          <w:b/>
          <w:bCs/>
          <w:caps/>
          <w:color w:val="1A1A2E"/>
          <w:sz w:val="22"/>
          <w:szCs w:val="22"/>
        </w:rPr>
        <w:t xml:space="preserve">AND FORMAL CASE REFERRAL UPDATE</w:t>
      </w:r>
    </w:p>
    <w:p>
      <w:pPr>
        <w:pBdr>
          <w:bottom w:val="single" w:color="1A1A2E" w:sz="4" w:space="4"/>
        </w:pBdr>
        <w:spacing w:before="140" w:after="140"/>
      </w:pPr>
      <w:r>
        <w:t xml:space="preserve"/>
      </w:r>
    </w:p>
    <w:p>
      <w:pPr>
        <w:spacing w:before="0" w:after="60"/>
      </w:pPr>
      <w:r>
        <w:t xml:space="preserve"/>
      </w:r>
    </w:p>
    <w:p>
      <w:pPr>
        <w:spacing w:before="50" w:after="50"/>
      </w:pPr>
      <w:r>
        <w:rPr>
          <w:rFonts w:ascii="Arial" w:cs="Arial" w:eastAsia="Arial" w:hAnsi="Arial"/>
          <w:b/>
          <w:bCs/>
          <w:sz w:val="20"/>
          <w:szCs w:val="20"/>
        </w:rPr>
        <w:t xml:space="preserve">FROM: </w:t>
      </w:r>
      <w:r>
        <w:rPr>
          <w:rFonts w:ascii="Arial" w:cs="Arial" w:eastAsia="Arial" w:hAnsi="Arial"/>
          <w:sz w:val="20"/>
          <w:szCs w:val="20"/>
        </w:rPr>
        <w:t xml:space="preserve">Pierre Deglaire, Plaintiff Pro Se</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7 rue Guillaume Apollinaire, 33700 Mérignac, France</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+33 6 63 90 13 01</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pierre.deglaire@gmail.com | deglaire.aoic@gmail.com</w:t>
      </w:r>
    </w:p>
    <w:p>
      <w:pPr>
        <w:spacing w:before="0" w:after="60"/>
      </w:pPr>
      <w:r>
        <w:t xml:space="preserve"/>
      </w:r>
    </w:p>
    <w:p>
      <w:pPr>
        <w:spacing w:before="50" w:after="50"/>
      </w:pPr>
      <w:r>
        <w:rPr>
          <w:rFonts w:ascii="Arial" w:cs="Arial" w:eastAsia="Arial" w:hAnsi="Arial"/>
          <w:b/>
          <w:bCs/>
          <w:sz w:val="20"/>
          <w:szCs w:val="20"/>
        </w:rPr>
        <w:t xml:space="preserve">TO: </w:t>
      </w:r>
      <w:r>
        <w:rPr>
          <w:rFonts w:ascii="Arial" w:cs="Arial" w:eastAsia="Arial" w:hAnsi="Arial"/>
          <w:sz w:val="20"/>
          <w:szCs w:val="20"/>
        </w:rPr>
        <w:t xml:space="preserve">Federal Bureau of Investigation</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New York Field Office</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26 Federal Plaza, New York, NY 10278</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tips.fbi.gov (online tip portal) / ny.fbi.gov</w:t>
      </w:r>
    </w:p>
    <w:p>
      <w:pPr>
        <w:spacing w:before="0" w:after="60"/>
      </w:pPr>
      <w:r>
        <w:t xml:space="preserve"/>
      </w:r>
    </w:p>
    <w:p>
      <w:pPr>
        <w:spacing w:before="50" w:after="50"/>
      </w:pPr>
      <w:r>
        <w:rPr>
          <w:rFonts w:ascii="Arial" w:cs="Arial" w:eastAsia="Arial" w:hAnsi="Arial"/>
          <w:b/>
          <w:bCs/>
          <w:sz w:val="20"/>
          <w:szCs w:val="20"/>
        </w:rPr>
        <w:t xml:space="preserve">DATE: </w:t>
      </w:r>
      <w:r>
        <w:rPr>
          <w:rFonts w:ascii="Arial" w:cs="Arial" w:eastAsia="Arial" w:hAnsi="Arial"/>
          <w:sz w:val="20"/>
          <w:szCs w:val="20"/>
        </w:rPr>
        <w:t xml:space="preserve">15 March 2026</w:t>
      </w:r>
    </w:p>
    <w:p>
      <w:pPr>
        <w:spacing w:before="0" w:after="60"/>
      </w:pPr>
      <w:r>
        <w:t xml:space="preserve"/>
      </w:r>
    </w:p>
    <w:p>
      <w:pPr>
        <w:spacing w:before="50" w:after="50"/>
      </w:pPr>
      <w:r>
        <w:rPr>
          <w:rFonts w:ascii="Arial" w:cs="Arial" w:eastAsia="Arial" w:hAnsi="Arial"/>
          <w:b/>
          <w:bCs/>
          <w:sz w:val="20"/>
          <w:szCs w:val="20"/>
        </w:rPr>
        <w:t xml:space="preserve">ACTIVE CASE: </w:t>
      </w:r>
      <w:r>
        <w:rPr>
          <w:rFonts w:ascii="Arial" w:cs="Arial" w:eastAsia="Arial" w:hAnsi="Arial"/>
          <w:sz w:val="20"/>
          <w:szCs w:val="20"/>
        </w:rPr>
        <w:t xml:space="preserve">Deglaire v. French State et al</w:t>
      </w:r>
    </w:p>
    <w:p>
      <w:pPr>
        <w:spacing w:before="50" w:after="50"/>
      </w:pPr>
      <w:r>
        <w:rPr>
          <w:rFonts w:ascii="Arial" w:cs="Arial" w:eastAsia="Arial" w:hAnsi="Arial"/>
          <w:b/>
          <w:bCs/>
          <w:sz w:val="20"/>
          <w:szCs w:val="20"/>
        </w:rPr>
        <w:t xml:space="preserve">CASE NUMBER: </w:t>
      </w:r>
      <w:r>
        <w:rPr>
          <w:rFonts w:ascii="Arial" w:cs="Arial" w:eastAsia="Arial" w:hAnsi="Arial"/>
          <w:sz w:val="20"/>
          <w:szCs w:val="20"/>
        </w:rPr>
        <w:t xml:space="preserve">1:25-cv-10163-LTS (U.S. District Court, SDNY)</w:t>
      </w:r>
    </w:p>
    <w:p>
      <w:pPr>
        <w:spacing w:before="50" w:after="50"/>
      </w:pPr>
      <w:r>
        <w:rPr>
          <w:rFonts w:ascii="Arial" w:cs="Arial" w:eastAsia="Arial" w:hAnsi="Arial"/>
          <w:b/>
          <w:bCs/>
          <w:sz w:val="20"/>
          <w:szCs w:val="20"/>
        </w:rPr>
        <w:t xml:space="preserve">TRANSFER ORDER: </w:t>
      </w:r>
      <w:r>
        <w:rPr>
          <w:rFonts w:ascii="Arial" w:cs="Arial" w:eastAsia="Arial" w:hAnsi="Arial"/>
          <w:sz w:val="20"/>
          <w:szCs w:val="20"/>
        </w:rPr>
        <w:t xml:space="preserve">Chief Judge Laura Taylor Swain — approx. January 12, 2026</w:t>
      </w:r>
    </w:p>
    <w:p>
      <w:pPr>
        <w:spacing w:before="50" w:after="50"/>
      </w:pPr>
      <w:r>
        <w:rPr>
          <w:rFonts w:ascii="Arial" w:cs="Arial" w:eastAsia="Arial" w:hAnsi="Arial"/>
          <w:b/>
          <w:bCs/>
          <w:sz w:val="20"/>
          <w:szCs w:val="20"/>
        </w:rPr>
        <w:t xml:space="preserve">DESTINATION: </w:t>
      </w:r>
      <w:r>
        <w:rPr>
          <w:rFonts w:ascii="Arial" w:cs="Arial" w:eastAsia="Arial" w:hAnsi="Arial"/>
          <w:sz w:val="20"/>
          <w:szCs w:val="20"/>
        </w:rPr>
        <w:t xml:space="preserve">U.S. District Court for the District of Columbia</w:t>
      </w:r>
    </w:p>
    <w:p>
      <w:pPr>
        <w:spacing w:before="50" w:after="50"/>
      </w:pPr>
      <w:r>
        <w:rPr>
          <w:rFonts w:ascii="Arial" w:cs="Arial" w:eastAsia="Arial" w:hAnsi="Arial"/>
          <w:b/>
          <w:bCs/>
          <w:sz w:val="20"/>
          <w:szCs w:val="20"/>
        </w:rPr>
        <w:t xml:space="preserve">PRIOR FBI CONTACT: </w:t>
      </w:r>
      <w:r>
        <w:rPr>
          <w:rFonts w:ascii="Arial" w:cs="Arial" w:eastAsia="Arial" w:hAnsi="Arial"/>
          <w:sz w:val="20"/>
          <w:szCs w:val="20"/>
        </w:rPr>
        <w:t xml:space="preserve">In-person meeting, New York, December 8, 2025</w:t>
      </w:r>
    </w:p>
    <w:p>
      <w:pPr>
        <w:spacing w:before="50" w:after="50"/>
      </w:pPr>
      <w:r>
        <w:rPr>
          <w:rFonts w:ascii="Arial" w:cs="Arial" w:eastAsia="Arial" w:hAnsi="Arial"/>
          <w:b/>
          <w:bCs/>
          <w:sz w:val="20"/>
          <w:szCs w:val="20"/>
        </w:rPr>
        <w:t xml:space="preserve">FBI DOSSIER DELIVERY: </w:t>
      </w:r>
      <w:r>
        <w:rPr>
          <w:rFonts w:ascii="Arial" w:cs="Arial" w:eastAsia="Arial" w:hAnsi="Arial"/>
          <w:sz w:val="20"/>
          <w:szCs w:val="20"/>
        </w:rPr>
        <w:t xml:space="preserve">USPS confirmed delivery, NYC 10278, December 9, 2025, 11:23</w:t>
      </w:r>
    </w:p>
    <w:p>
      <w:pPr>
        <w:spacing w:before="0" w:after="60"/>
      </w:pPr>
      <w:r>
        <w:t xml:space="preserve"/>
      </w:r>
    </w:p>
    <w:p>
      <w:pPr>
        <w:spacing w:before="50" w:after="50"/>
      </w:pPr>
      <w:r>
        <w:rPr>
          <w:rFonts w:ascii="Arial" w:cs="Arial" w:eastAsia="Arial" w:hAnsi="Arial"/>
          <w:b/>
          <w:bCs/>
          <w:sz w:val="20"/>
          <w:szCs w:val="20"/>
        </w:rPr>
        <w:t xml:space="preserve">SUBJECT: </w:t>
      </w:r>
      <w:r>
        <w:rPr>
          <w:rFonts w:ascii="Arial" w:cs="Arial" w:eastAsia="Arial" w:hAnsi="Arial"/>
          <w:sz w:val="20"/>
          <w:szCs w:val="20"/>
        </w:rPr>
        <w:t xml:space="preserve">Notice of Active Federal Proceedings — Case 1:25-cv-10163-LTS (SDNY/DDC)</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Formal Case Referral Update — FBI December 2025 Contact and Dossier Delivery</w:t>
      </w:r>
    </w:p>
    <w:p>
      <w:pPr>
        <w:spacing w:before="0" w:after="60"/>
      </w:pPr>
      <w:r>
        <w:t xml:space="preserve"/>
      </w:r>
    </w:p>
    <w:p>
      <w:pPr>
        <w:pBdr>
          <w:bottom w:val="single" w:color="1A1A2E" w:sz="4" w:space="4"/>
        </w:pBdr>
        <w:spacing w:before="140" w:after="140"/>
      </w:pPr>
      <w:r>
        <w:t xml:space="preserve"/>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Dear Sir or Madam,</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This notice is transmitted to inform the Federal Bureau of Investigation of the current status of an active federal civil proceeding that incorporates the materials previously submitted to your office, and to formally request coordination between federal executive and judicial channels.</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This is not a request for confirmation of receipt of prior submissions. It is a formal notification of a judicial development that directly concerns the materials in your possession, and that creates an institutional basis for action that did not previously exist.</w:t>
      </w:r>
    </w:p>
    <w:p>
      <w:pPr>
        <w:spacing w:before="0" w:after="60"/>
      </w:pPr>
      <w:r>
        <w:t xml:space="preserve"/>
      </w:r>
    </w:p>
    <w:p>
      <w:pPr>
        <w:pBdr>
          <w:left w:val="thick" w:color="0F3460" w:sz="14" w:space="10"/>
        </w:pBdr>
        <w:spacing w:before="120" w:after="120"/>
        <w:ind w:left="400"/>
      </w:pPr>
      <w:r>
        <w:rPr>
          <w:rFonts w:ascii="Arial" w:cs="Arial" w:eastAsia="Arial" w:hAnsi="Arial"/>
          <w:b/>
          <w:bCs/>
          <w:color w:val="0F3460"/>
          <w:sz w:val="19"/>
          <w:szCs w:val="19"/>
        </w:rPr>
        <w:t xml:space="preserve">An active federal case number exists: 1:25-cv-10163-LTS. Chief Judge Laura Taylor Swain of the Southern District of New York has entered a transfer order to the District of Columbia, expressly recognizing the emergency character of the matter. This is an established judicial fact, not a claim or allegation.</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I. WHAT IS NOW ESTABLISHED ON THE FEDERAL RECORD</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 following facts are established, documented, and verifiable through official federal records:</w:t>
      </w:r>
    </w:p>
    <w:p>
      <w:pPr>
        <w:spacing w:before="0" w:after="60"/>
      </w:pPr>
      <w:r>
        <w:t xml:space="preserve"/>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December 8, 2025: Pierre Deglaire physically attended the FBI Field Office in New York and engaged in direct in-person exchanges with multiple FBI representatives concerning the matters documented in the Global Filing;</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December 9, 2025: The 320-page Global Filing was delivered by USPS to the FBI Building, New York (ZIP 10278), confirmed by USPS tracking at 11:23 AM;</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December 8–10, 2025: The same Global Filing was deposited with the SDNY Pro Se Office and opened as Case 1:25-cv-10163-UA, subsequently redesignated 1:25-cv-10163-LTS;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January 9, 2026: Chief Judge Laura Taylor Swain reassigned the case sua sponte — a judicial act reflecting active consideration of the filing;</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Approximately January 12, 2026: Chief Judge Swain entered a transfer order to the U.S. District Court for the District of Columbia, with the emergency character expressly noted and the standard waiting period waived;</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The Global Filing was also transmitted via U.S. Embassy diplomatic channel for secure routing to the FBI and DOJ.</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II. NATURE OF THE UNDERLYING MATTER — FEDERAL NEXUS</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 Global Filing documents a decade-long convergence of the following, each of which independently generates federal interest:</w:t>
      </w:r>
    </w:p>
    <w:p>
      <w:pPr>
        <w:spacing w:before="0" w:after="60"/>
      </w:pPr>
      <w:r>
        <w:t xml:space="preserve"/>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Systemic obstruction of justice across France, the UK, and the United States, including documented interference with communications on U.S. soil between December 5–13, 2025 — complete mobile neutralization in New York while the Plaintiff’s phone functioned normally in Spain and Germany;</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Coordinated market suppression of Lucy Bank — a validated European banking innovation — with transnational scope and direct U.S. antitrust and financial market integrity relevance;</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Interference with federal judicial processes on U.S. territory, including non-delivery anomalies affecting submissions to U.S. federal institutions;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Documented physical attacks: vehicle sabotage, poisoning attempts, unlawful detention, forced psychiatric internment — all against an individual carrying evidence of systemic financial crime implicating state-linked and major banking actors;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Conservative financial damage assessment: €124.4 billion across multiple destroyed projects and jurisdictions.</w:t>
      </w:r>
    </w:p>
    <w:p>
      <w:pPr>
        <w:spacing w:before="0" w:after="60"/>
      </w:pPr>
      <w:r>
        <w:t xml:space="preserve"/>
      </w:r>
    </w:p>
    <w:p>
      <w:pPr>
        <w:pBdr>
          <w:left w:val="thick" w:color="1A6B3C" w:sz="14" w:space="10"/>
        </w:pBdr>
        <w:spacing w:before="120" w:after="120"/>
        <w:ind w:left="400"/>
      </w:pPr>
      <w:r>
        <w:rPr>
          <w:rFonts w:ascii="Arial" w:cs="Arial" w:eastAsia="Arial" w:hAnsi="Arial"/>
          <w:b/>
          <w:bCs/>
          <w:color w:val="1A6B3C"/>
          <w:sz w:val="19"/>
          <w:szCs w:val="19"/>
        </w:rPr>
        <w:t xml:space="preserve">FBI NEXUS: The events of December 5–13, 2025 in New York — complete telecommunications blackout, interference with federal submissions, anomalies in Exhibit D — constitute potential federal offenses under 18 U.S.C. § 1512 (obstruction of federal proceedings) and 18 U.S.C. § 1030 (CFAA). These are matters within FBI investigative jurisdiction, independent of the civil proceedings.</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III. WHY THIS NOTICE MATTERS NOW</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Prior communications to the FBI were transmitted in a context where no formal judicial proceeding existed in the United States. That context has fundamentally changed.</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 existence of Case 1:25-cv-10163-LTS and the transfer order of Chief Judge Swain create an institutional framework that was previously absent:</w:t>
      </w:r>
    </w:p>
    <w:p>
      <w:pPr>
        <w:spacing w:before="0" w:after="60"/>
      </w:pPr>
      <w:r>
        <w:t xml:space="preserve"/>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The materials previously submitted are now formally connected to an active federal civil proceeding;</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A federal judge has already assessed the matter as sufficiently serious to warrant sua sponte reassignment and emergency transfer;</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The DDC has jurisdiction over matters involving the French State, foreign sovereign immunity exceptions, and federal regulatory interests;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Coordination between federal executive (FBI) and judicial (DDC) channels is now procedurally natural and appropriate.</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 Plaintiff does not seek to direct federal investigative priorities. He seeks to ensure that the institutional actors who already hold relevant materials are aware of this judicial development, so that coordination can occur through appropriate internal channels.</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IV. SPECIFIC REQUESTS</w:t>
      </w:r>
    </w:p>
    <w:p>
      <w:pPr>
        <w:spacing w:before="0" w:after="60"/>
      </w:pPr>
      <w:r>
        <w:t xml:space="preserve"/>
      </w:r>
    </w:p>
    <w:p>
      <w:pPr>
        <w:spacing w:before="100" w:after="60"/>
      </w:pPr>
      <w:r>
        <w:rPr>
          <w:rFonts w:ascii="Georgia" w:cs="Georgia" w:eastAsia="Georgia" w:hAnsi="Georgia"/>
          <w:b/>
          <w:bCs/>
          <w:sz w:val="22"/>
          <w:szCs w:val="22"/>
          <w:u w:val="single"/>
        </w:rPr>
        <w:t xml:space="preserve">1. Acknowledgment of This Notice</w:t>
      </w:r>
    </w:p>
    <w:p>
      <w:pPr>
        <w:spacing w:before="100" w:after="100" w:line="280"/>
        <w:jc w:val="both"/>
      </w:pPr>
      <w:r>
        <w:rPr>
          <w:rFonts w:ascii="Georgia" w:cs="Georgia" w:eastAsia="Georgia" w:hAnsi="Georgia"/>
          <w:b w:val="false"/>
          <w:bCs w:val="false"/>
          <w:i w:val="false"/>
          <w:iCs w:val="false"/>
          <w:sz w:val="22"/>
          <w:szCs w:val="22"/>
        </w:rPr>
        <w:t xml:space="preserve">Written confirmation that this notice has been received and associated with prior submissions referencing the Global Filing of December 8–9, 2025 and Case 1:25-cv-10163-LTS.</w:t>
      </w:r>
    </w:p>
    <w:p>
      <w:pPr>
        <w:spacing w:before="0" w:after="60"/>
      </w:pPr>
      <w:r>
        <w:t xml:space="preserve"/>
      </w:r>
    </w:p>
    <w:p>
      <w:pPr>
        <w:spacing w:before="100" w:after="60"/>
      </w:pPr>
      <w:r>
        <w:rPr>
          <w:rFonts w:ascii="Georgia" w:cs="Georgia" w:eastAsia="Georgia" w:hAnsi="Georgia"/>
          <w:b/>
          <w:bCs/>
          <w:sz w:val="22"/>
          <w:szCs w:val="22"/>
          <w:u w:val="single"/>
        </w:rPr>
        <w:t xml:space="preserve">2. Internal Routing</w:t>
      </w:r>
    </w:p>
    <w:p>
      <w:pPr>
        <w:spacing w:before="100" w:after="100" w:line="280"/>
        <w:jc w:val="both"/>
      </w:pPr>
      <w:r>
        <w:rPr>
          <w:rFonts w:ascii="Georgia" w:cs="Georgia" w:eastAsia="Georgia" w:hAnsi="Georgia"/>
          <w:b w:val="false"/>
          <w:bCs w:val="false"/>
          <w:i w:val="false"/>
          <w:iCs w:val="false"/>
          <w:sz w:val="22"/>
          <w:szCs w:val="22"/>
        </w:rPr>
        <w:t xml:space="preserve">Routing of this notice and the associated case file to the unit within the FBI responsible for matters involving foreign interference, obstruction of federal proceedings, and financial crime with transnational dimensions.</w:t>
      </w:r>
    </w:p>
    <w:p>
      <w:pPr>
        <w:spacing w:before="0" w:after="60"/>
      </w:pPr>
      <w:r>
        <w:t xml:space="preserve"/>
      </w:r>
    </w:p>
    <w:p>
      <w:pPr>
        <w:spacing w:before="100" w:after="60"/>
      </w:pPr>
      <w:r>
        <w:rPr>
          <w:rFonts w:ascii="Georgia" w:cs="Georgia" w:eastAsia="Georgia" w:hAnsi="Georgia"/>
          <w:b/>
          <w:bCs/>
          <w:sz w:val="22"/>
          <w:szCs w:val="22"/>
          <w:u w:val="single"/>
        </w:rPr>
        <w:t xml:space="preserve">3. Preservation of Submitted Materials</w:t>
      </w:r>
    </w:p>
    <w:p>
      <w:pPr>
        <w:spacing w:before="100" w:after="100" w:line="280"/>
        <w:jc w:val="both"/>
      </w:pPr>
      <w:r>
        <w:rPr>
          <w:rFonts w:ascii="Georgia" w:cs="Georgia" w:eastAsia="Georgia" w:hAnsi="Georgia"/>
          <w:b w:val="false"/>
          <w:bCs w:val="false"/>
          <w:i w:val="false"/>
          <w:iCs w:val="false"/>
          <w:sz w:val="22"/>
          <w:szCs w:val="22"/>
        </w:rPr>
        <w:t xml:space="preserve">Confirmation that the Global Filing and all accompanying materials previously delivered are preserved and associated with Case 1:25-cv-10163-LTS for any coordination with DDC proceedings.</w:t>
      </w:r>
    </w:p>
    <w:p>
      <w:pPr>
        <w:spacing w:before="0" w:after="60"/>
      </w:pPr>
      <w:r>
        <w:t xml:space="preserve"/>
      </w:r>
    </w:p>
    <w:p>
      <w:pPr>
        <w:spacing w:before="100" w:after="60"/>
      </w:pPr>
      <w:r>
        <w:rPr>
          <w:rFonts w:ascii="Georgia" w:cs="Georgia" w:eastAsia="Georgia" w:hAnsi="Georgia"/>
          <w:b/>
          <w:bCs/>
          <w:sz w:val="22"/>
          <w:szCs w:val="22"/>
          <w:u w:val="single"/>
        </w:rPr>
        <w:t xml:space="preserve">4. Secure Communication Channel</w:t>
      </w:r>
    </w:p>
    <w:p>
      <w:pPr>
        <w:spacing w:before="100" w:after="100" w:line="280"/>
        <w:jc w:val="both"/>
      </w:pPr>
      <w:r>
        <w:rPr>
          <w:rFonts w:ascii="Georgia" w:cs="Georgia" w:eastAsia="Georgia" w:hAnsi="Georgia"/>
          <w:b w:val="false"/>
          <w:bCs w:val="false"/>
          <w:i w:val="false"/>
          <w:iCs w:val="false"/>
          <w:sz w:val="22"/>
          <w:szCs w:val="22"/>
        </w:rPr>
        <w:t xml:space="preserve">Identification of a direct and secure channel for transmission of a Supplemental Submission covering post-December 2025 facts, and for receipt of procedural guidance.</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V. POST-FILING SUPPLEMENTARY FACTS</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Since December 8, 2025, additional facts have arisen that post-date the Global Filing and will be formally submitted upon establishment of a secure channel. These include:</w:t>
      </w:r>
    </w:p>
    <w:p>
      <w:pPr>
        <w:spacing w:before="0" w:after="60"/>
      </w:pPr>
      <w:r>
        <w:t xml:space="preserve"/>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Continuing telecommunications neutralization with the same geographic and temporal pattern as New York, documented on subsequent occasions in multiple countries;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Administrative obstruction in the United Kingdom: a fabricated emergency hearing at the Rolls Building on November 26, 2025 that left zero procedural trace, followed by five months of institutional silence across four UK institutions;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New financial strangulation events connected to the same actors and mechanisms documented in the Global Filing;</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Digital interference during preparation of federal submissions.</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These facts are noted to ensure the FBI is aware that the evidentiary record has continued to develop and that the Global Filing does not represent the totality of documented facts.</w:t>
      </w:r>
    </w:p>
    <w:p>
      <w:pPr>
        <w:spacing w:before="0" w:after="60"/>
      </w:pPr>
      <w:r>
        <w:t xml:space="preserve"/>
      </w:r>
    </w:p>
    <w:p>
      <w:pPr>
        <w:pBdr>
          <w:bottom w:val="single" w:color="1A1A2E" w:sz="4" w:space="4"/>
        </w:pBdr>
        <w:spacing w:before="140" w:after="140"/>
      </w:pPr>
      <w:r>
        <w:t xml:space="preserve"/>
      </w:r>
    </w:p>
    <w:p>
      <w:pPr>
        <w:pBdr>
          <w:left w:val="thick" w:color="C0392B" w:sz="14" w:space="10"/>
        </w:pBdr>
        <w:spacing w:before="120" w:after="120"/>
        <w:ind w:left="400"/>
      </w:pPr>
      <w:r>
        <w:rPr>
          <w:rFonts w:ascii="Arial" w:cs="Arial" w:eastAsia="Arial" w:hAnsi="Arial"/>
          <w:b/>
          <w:bCs/>
          <w:color w:val="C0392B"/>
          <w:sz w:val="18"/>
          <w:szCs w:val="18"/>
        </w:rPr>
        <w:t xml:space="preserve">This notice is a formal legal instrument transmitted by email with delivery tracking. A copy is simultaneously transmitted to the other addressed federal channel, to the SDNY and DDC clerks, and to the ECHR Registry. This transmission will be relied upon in all ongoing proceedings.</w:t>
      </w:r>
    </w:p>
    <w:p>
      <w:pPr>
        <w:spacing w:before="0" w:after="60"/>
      </w:pPr>
      <w:r>
        <w:t xml:space="preserve"/>
      </w:r>
    </w:p>
    <w:p>
      <w:pPr>
        <w:pBdr>
          <w:bottom w:val="single" w:color="1A1A2E" w:sz="4" w:space="4"/>
        </w:pBdr>
        <w:spacing w:before="140" w:after="140"/>
      </w:pPr>
      <w:r>
        <w:t xml:space="preserve"/>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Respectfully submitted,</w:t>
      </w:r>
    </w:p>
    <w:p>
      <w:pPr>
        <w:spacing w:before="0" w:after="60"/>
      </w:pPr>
      <w:r>
        <w:t xml:space="preserve"/>
      </w:r>
    </w:p>
    <w:p>
      <w:pPr>
        <w:spacing w:before="80" w:after="40"/>
      </w:pPr>
      <w:r>
        <w:rPr>
          <w:rFonts w:ascii="Georgia" w:cs="Georgia" w:eastAsia="Georgia" w:hAnsi="Georgia"/>
          <w:b/>
          <w:bCs/>
          <w:sz w:val="24"/>
          <w:szCs w:val="24"/>
        </w:rPr>
        <w:t xml:space="preserve">Pierre Deglaire</w:t>
      </w:r>
    </w:p>
    <w:p>
      <w:pPr>
        <w:spacing w:before="40" w:after="40"/>
      </w:pPr>
      <w:r>
        <w:rPr>
          <w:rFonts w:ascii="Georgia" w:cs="Georgia" w:eastAsia="Georgia" w:hAnsi="Georgia"/>
          <w:i/>
          <w:iCs/>
          <w:sz w:val="20"/>
          <w:szCs w:val="20"/>
        </w:rPr>
        <w:t xml:space="preserve">Plaintiff, Pro Se</w:t>
      </w:r>
    </w:p>
    <w:p>
      <w:pPr>
        <w:spacing w:before="40" w:after="40"/>
      </w:pPr>
      <w:r>
        <w:rPr>
          <w:rFonts w:ascii="Georgia" w:cs="Georgia" w:eastAsia="Georgia" w:hAnsi="Georgia"/>
          <w:sz w:val="20"/>
          <w:szCs w:val="20"/>
        </w:rPr>
        <w:t xml:space="preserve">7 rue Guillaume Apollinaire, 33700 Mérignac, France</w:t>
      </w:r>
    </w:p>
    <w:p>
      <w:pPr>
        <w:spacing w:before="40" w:after="40"/>
      </w:pPr>
      <w:r>
        <w:rPr>
          <w:rFonts w:ascii="Georgia" w:cs="Georgia" w:eastAsia="Georgia" w:hAnsi="Georgia"/>
          <w:sz w:val="20"/>
          <w:szCs w:val="20"/>
        </w:rPr>
        <w:t xml:space="preserve">+33 6 63 90 13 01</w:t>
      </w:r>
    </w:p>
    <w:p>
      <w:pPr>
        <w:spacing w:before="40" w:after="40"/>
      </w:pPr>
      <w:r>
        <w:rPr>
          <w:rFonts w:ascii="Georgia" w:cs="Georgia" w:eastAsia="Georgia" w:hAnsi="Georgia"/>
          <w:sz w:val="20"/>
          <w:szCs w:val="20"/>
        </w:rPr>
        <w:t xml:space="preserve">pierre.deglaire@gmail.com | deglaire.aoic@gmail.com</w:t>
      </w:r>
    </w:p>
    <w:p>
      <w:pPr>
        <w:spacing w:before="40" w:after="40"/>
      </w:pPr>
      <w:r>
        <w:rPr>
          <w:rFonts w:ascii="Georgia" w:cs="Georgia" w:eastAsia="Georgia" w:hAnsi="Georgia"/>
          <w:sz w:val="20"/>
          <w:szCs w:val="20"/>
        </w:rPr>
        <w:t xml:space="preserve">15 March 2026</w:t>
      </w:r>
    </w:p>
    <w:p>
      <w:pPr>
        <w:spacing w:before="0" w:after="120"/>
      </w:pPr>
      <w:r>
        <w:t xml:space="preserve"/>
      </w:r>
    </w:p>
    <w:p>
      <w:pPr>
        <w:pBdr>
          <w:bottom w:val="single" w:color="1A1A2E" w:sz="4" w:space="4"/>
        </w:pBdr>
        <w:spacing w:before="140" w:after="140"/>
      </w:pPr>
      <w:r>
        <w:t xml:space="preserve"/>
      </w:r>
    </w:p>
    <w:p>
      <w:pPr>
        <w:spacing w:before="100" w:after="60"/>
      </w:pPr>
      <w:r>
        <w:rPr>
          <w:rFonts w:ascii="Arial" w:cs="Arial" w:eastAsia="Arial" w:hAnsi="Arial"/>
          <w:b/>
          <w:bCs/>
          <w:sz w:val="18"/>
          <w:szCs w:val="18"/>
        </w:rPr>
        <w:t xml:space="preserve">COPIES TRANSMITTED SIMULTANEOUSLY TO:</w:t>
      </w:r>
    </w:p>
    <w:p>
      <w:pPr>
        <w:spacing w:before="40" w:after="40"/>
      </w:pPr>
      <w:r>
        <w:rPr>
          <w:rFonts w:ascii="Arial" w:cs="Arial" w:eastAsia="Arial" w:hAnsi="Arial"/>
          <w:sz w:val="18"/>
          <w:szCs w:val="18"/>
        </w:rPr>
        <w:t xml:space="preserve">U.S. Department of Justice, Criminal Division</w:t>
      </w:r>
    </w:p>
    <w:p>
      <w:pPr>
        <w:spacing w:before="40" w:after="40"/>
      </w:pPr>
      <w:r>
        <w:rPr>
          <w:rFonts w:ascii="Arial" w:cs="Arial" w:eastAsia="Arial" w:hAnsi="Arial"/>
          <w:sz w:val="18"/>
          <w:szCs w:val="18"/>
        </w:rPr>
        <w:t xml:space="preserve">Clerk of Court, U.S. District Court for the District of Columbia</w:t>
      </w:r>
    </w:p>
    <w:p>
      <w:pPr>
        <w:spacing w:before="40" w:after="40"/>
      </w:pPr>
      <w:r>
        <w:rPr>
          <w:rFonts w:ascii="Arial" w:cs="Arial" w:eastAsia="Arial" w:hAnsi="Arial"/>
          <w:sz w:val="18"/>
          <w:szCs w:val="18"/>
        </w:rPr>
        <w:t xml:space="preserve">Clerk of Court, U.S. District Court, Southern District of New York</w:t>
      </w:r>
    </w:p>
    <w:p>
      <w:pPr>
        <w:spacing w:before="40" w:after="40"/>
      </w:pPr>
      <w:r>
        <w:rPr>
          <w:rFonts w:ascii="Arial" w:cs="Arial" w:eastAsia="Arial" w:hAnsi="Arial"/>
          <w:sz w:val="18"/>
          <w:szCs w:val="18"/>
        </w:rPr>
        <w:t xml:space="preserve">European Court of Human Rights — Registry (Ref. 30346/25)</w:t>
      </w:r>
    </w:p>
    <w:p>
      <w:r>
        <w:br w:type="page"/>
      </w:r>
    </w:p>
    <w:p>
      <w:pPr>
        <w:spacing w:before="0" w:after="60"/>
        <w:jc w:val="center"/>
      </w:pPr>
      <w:r>
        <w:rPr>
          <w:rFonts w:ascii="Arial" w:cs="Arial" w:eastAsia="Arial" w:hAnsi="Arial"/>
          <w:b/>
          <w:bCs/>
          <w:caps/>
          <w:color w:val="1A1A2E"/>
          <w:sz w:val="26"/>
          <w:szCs w:val="26"/>
        </w:rPr>
        <w:t xml:space="preserve">NOTICE OF ACTIVE FEDERAL PROCEEDINGS</w:t>
      </w:r>
    </w:p>
    <w:p>
      <w:pPr>
        <w:spacing w:before="0" w:after="160"/>
        <w:jc w:val="center"/>
      </w:pPr>
      <w:r>
        <w:rPr>
          <w:rFonts w:ascii="Arial" w:cs="Arial" w:eastAsia="Arial" w:hAnsi="Arial"/>
          <w:b/>
          <w:bCs/>
          <w:caps/>
          <w:color w:val="1A1A2E"/>
          <w:sz w:val="22"/>
          <w:szCs w:val="22"/>
        </w:rPr>
        <w:t xml:space="preserve">AND FORMAL CASE REFERRAL UPDATE</w:t>
      </w:r>
    </w:p>
    <w:p>
      <w:pPr>
        <w:pBdr>
          <w:bottom w:val="single" w:color="1A1A2E" w:sz="4" w:space="4"/>
        </w:pBdr>
        <w:spacing w:before="140" w:after="140"/>
      </w:pPr>
      <w:r>
        <w:t xml:space="preserve"/>
      </w:r>
    </w:p>
    <w:p>
      <w:pPr>
        <w:spacing w:before="0" w:after="60"/>
      </w:pPr>
      <w:r>
        <w:t xml:space="preserve"/>
      </w:r>
    </w:p>
    <w:p>
      <w:pPr>
        <w:spacing w:before="50" w:after="50"/>
      </w:pPr>
      <w:r>
        <w:rPr>
          <w:rFonts w:ascii="Arial" w:cs="Arial" w:eastAsia="Arial" w:hAnsi="Arial"/>
          <w:b/>
          <w:bCs/>
          <w:sz w:val="20"/>
          <w:szCs w:val="20"/>
        </w:rPr>
        <w:t xml:space="preserve">FROM: </w:t>
      </w:r>
      <w:r>
        <w:rPr>
          <w:rFonts w:ascii="Arial" w:cs="Arial" w:eastAsia="Arial" w:hAnsi="Arial"/>
          <w:sz w:val="20"/>
          <w:szCs w:val="20"/>
        </w:rPr>
        <w:t xml:space="preserve">Pierre Deglaire, Plaintiff Pro Se</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7 rue Guillaume Apollinaire, 33700 Mérignac, France</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+33 6 63 90 13 01</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pierre.deglaire@gmail.com | deglaire.aoic@gmail.com</w:t>
      </w:r>
    </w:p>
    <w:p>
      <w:pPr>
        <w:spacing w:before="0" w:after="60"/>
      </w:pPr>
      <w:r>
        <w:t xml:space="preserve"/>
      </w:r>
    </w:p>
    <w:p>
      <w:pPr>
        <w:spacing w:before="50" w:after="50"/>
      </w:pPr>
      <w:r>
        <w:rPr>
          <w:rFonts w:ascii="Arial" w:cs="Arial" w:eastAsia="Arial" w:hAnsi="Arial"/>
          <w:b/>
          <w:bCs/>
          <w:sz w:val="20"/>
          <w:szCs w:val="20"/>
        </w:rPr>
        <w:t xml:space="preserve">TO: </w:t>
      </w:r>
      <w:r>
        <w:rPr>
          <w:rFonts w:ascii="Arial" w:cs="Arial" w:eastAsia="Arial" w:hAnsi="Arial"/>
          <w:sz w:val="20"/>
          <w:szCs w:val="20"/>
        </w:rPr>
        <w:t xml:space="preserve">U.S. Department of Justice</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Criminal Division</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950 Pennsylvania Avenue NW, Washington, DC 20530</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criminal.division@usdoj.gov</w:t>
      </w:r>
    </w:p>
    <w:p>
      <w:pPr>
        <w:spacing w:before="0" w:after="60"/>
      </w:pPr>
      <w:r>
        <w:t xml:space="preserve"/>
      </w:r>
    </w:p>
    <w:p>
      <w:pPr>
        <w:spacing w:before="50" w:after="50"/>
      </w:pPr>
      <w:r>
        <w:rPr>
          <w:rFonts w:ascii="Arial" w:cs="Arial" w:eastAsia="Arial" w:hAnsi="Arial"/>
          <w:b/>
          <w:bCs/>
          <w:sz w:val="20"/>
          <w:szCs w:val="20"/>
        </w:rPr>
        <w:t xml:space="preserve">DATE: </w:t>
      </w:r>
      <w:r>
        <w:rPr>
          <w:rFonts w:ascii="Arial" w:cs="Arial" w:eastAsia="Arial" w:hAnsi="Arial"/>
          <w:sz w:val="20"/>
          <w:szCs w:val="20"/>
        </w:rPr>
        <w:t xml:space="preserve">15 March 2026</w:t>
      </w:r>
    </w:p>
    <w:p>
      <w:pPr>
        <w:spacing w:before="0" w:after="60"/>
      </w:pPr>
      <w:r>
        <w:t xml:space="preserve"/>
      </w:r>
    </w:p>
    <w:p>
      <w:pPr>
        <w:spacing w:before="50" w:after="50"/>
      </w:pPr>
      <w:r>
        <w:rPr>
          <w:rFonts w:ascii="Arial" w:cs="Arial" w:eastAsia="Arial" w:hAnsi="Arial"/>
          <w:b/>
          <w:bCs/>
          <w:sz w:val="20"/>
          <w:szCs w:val="20"/>
        </w:rPr>
        <w:t xml:space="preserve">ACTIVE CASE: </w:t>
      </w:r>
      <w:r>
        <w:rPr>
          <w:rFonts w:ascii="Arial" w:cs="Arial" w:eastAsia="Arial" w:hAnsi="Arial"/>
          <w:sz w:val="20"/>
          <w:szCs w:val="20"/>
        </w:rPr>
        <w:t xml:space="preserve">Deglaire v. French State et al</w:t>
      </w:r>
    </w:p>
    <w:p>
      <w:pPr>
        <w:spacing w:before="50" w:after="50"/>
      </w:pPr>
      <w:r>
        <w:rPr>
          <w:rFonts w:ascii="Arial" w:cs="Arial" w:eastAsia="Arial" w:hAnsi="Arial"/>
          <w:b/>
          <w:bCs/>
          <w:sz w:val="20"/>
          <w:szCs w:val="20"/>
        </w:rPr>
        <w:t xml:space="preserve">CASE NUMBER: </w:t>
      </w:r>
      <w:r>
        <w:rPr>
          <w:rFonts w:ascii="Arial" w:cs="Arial" w:eastAsia="Arial" w:hAnsi="Arial"/>
          <w:sz w:val="20"/>
          <w:szCs w:val="20"/>
        </w:rPr>
        <w:t xml:space="preserve">1:25-cv-10163-LTS (U.S. District Court, SDNY)</w:t>
      </w:r>
    </w:p>
    <w:p>
      <w:pPr>
        <w:spacing w:before="50" w:after="50"/>
      </w:pPr>
      <w:r>
        <w:rPr>
          <w:rFonts w:ascii="Arial" w:cs="Arial" w:eastAsia="Arial" w:hAnsi="Arial"/>
          <w:b/>
          <w:bCs/>
          <w:sz w:val="20"/>
          <w:szCs w:val="20"/>
        </w:rPr>
        <w:t xml:space="preserve">TRANSFER ORDER: </w:t>
      </w:r>
      <w:r>
        <w:rPr>
          <w:rFonts w:ascii="Arial" w:cs="Arial" w:eastAsia="Arial" w:hAnsi="Arial"/>
          <w:sz w:val="20"/>
          <w:szCs w:val="20"/>
        </w:rPr>
        <w:t xml:space="preserve">Chief Judge Laura Taylor Swain — approx. January 12, 2026</w:t>
      </w:r>
    </w:p>
    <w:p>
      <w:pPr>
        <w:spacing w:before="50" w:after="50"/>
      </w:pPr>
      <w:r>
        <w:rPr>
          <w:rFonts w:ascii="Arial" w:cs="Arial" w:eastAsia="Arial" w:hAnsi="Arial"/>
          <w:b/>
          <w:bCs/>
          <w:sz w:val="20"/>
          <w:szCs w:val="20"/>
        </w:rPr>
        <w:t xml:space="preserve">DESTINATION: </w:t>
      </w:r>
      <w:r>
        <w:rPr>
          <w:rFonts w:ascii="Arial" w:cs="Arial" w:eastAsia="Arial" w:hAnsi="Arial"/>
          <w:sz w:val="20"/>
          <w:szCs w:val="20"/>
        </w:rPr>
        <w:t xml:space="preserve">U.S. District Court for the District of Columbia</w:t>
      </w:r>
    </w:p>
    <w:p>
      <w:pPr>
        <w:spacing w:before="50" w:after="50"/>
      </w:pPr>
      <w:r>
        <w:rPr>
          <w:rFonts w:ascii="Arial" w:cs="Arial" w:eastAsia="Arial" w:hAnsi="Arial"/>
          <w:b/>
          <w:bCs/>
          <w:sz w:val="20"/>
          <w:szCs w:val="20"/>
        </w:rPr>
        <w:t xml:space="preserve">PRIOR FBI CONTACT: </w:t>
      </w:r>
      <w:r>
        <w:rPr>
          <w:rFonts w:ascii="Arial" w:cs="Arial" w:eastAsia="Arial" w:hAnsi="Arial"/>
          <w:sz w:val="20"/>
          <w:szCs w:val="20"/>
        </w:rPr>
        <w:t xml:space="preserve">In-person meeting, New York, December 8, 2025</w:t>
      </w:r>
    </w:p>
    <w:p>
      <w:pPr>
        <w:spacing w:before="50" w:after="50"/>
      </w:pPr>
      <w:r>
        <w:rPr>
          <w:rFonts w:ascii="Arial" w:cs="Arial" w:eastAsia="Arial" w:hAnsi="Arial"/>
          <w:b/>
          <w:bCs/>
          <w:sz w:val="20"/>
          <w:szCs w:val="20"/>
        </w:rPr>
        <w:t xml:space="preserve">FBI DOSSIER DELIVERY: </w:t>
      </w:r>
      <w:r>
        <w:rPr>
          <w:rFonts w:ascii="Arial" w:cs="Arial" w:eastAsia="Arial" w:hAnsi="Arial"/>
          <w:sz w:val="20"/>
          <w:szCs w:val="20"/>
        </w:rPr>
        <w:t xml:space="preserve">USPS confirmed delivery, NYC 10278, December 9, 2025, 11:23</w:t>
      </w:r>
    </w:p>
    <w:p>
      <w:pPr>
        <w:spacing w:before="0" w:after="60"/>
      </w:pPr>
      <w:r>
        <w:t xml:space="preserve"/>
      </w:r>
    </w:p>
    <w:p>
      <w:pPr>
        <w:spacing w:before="50" w:after="50"/>
      </w:pPr>
      <w:r>
        <w:rPr>
          <w:rFonts w:ascii="Arial" w:cs="Arial" w:eastAsia="Arial" w:hAnsi="Arial"/>
          <w:b/>
          <w:bCs/>
          <w:sz w:val="20"/>
          <w:szCs w:val="20"/>
        </w:rPr>
        <w:t xml:space="preserve">SUBJECT: </w:t>
      </w:r>
      <w:r>
        <w:rPr>
          <w:rFonts w:ascii="Arial" w:cs="Arial" w:eastAsia="Arial" w:hAnsi="Arial"/>
          <w:sz w:val="20"/>
          <w:szCs w:val="20"/>
        </w:rPr>
        <w:t xml:space="preserve">Notice of Active Federal Proceedings — Case 1:25-cv-10163-LTS (SDNY/DDC)</w:t>
      </w:r>
    </w:p>
    <w:p>
      <w:pPr>
        <w:spacing w:before="50" w:after="50"/>
      </w:pPr>
      <w:r>
        <w:rPr>
          <w:rFonts w:ascii="Arial" w:cs="Arial" w:eastAsia="Arial" w:hAnsi="Arial"/>
          <w:b/>
          <w:bCs/>
          <w:sz w:val="20"/>
          <w:szCs w:val="20"/>
        </w:rPr>
        <w:t xml:space="preserve"> </w:t>
      </w:r>
      <w:r>
        <w:rPr>
          <w:rFonts w:ascii="Arial" w:cs="Arial" w:eastAsia="Arial" w:hAnsi="Arial"/>
          <w:sz w:val="20"/>
          <w:szCs w:val="20"/>
        </w:rPr>
        <w:t xml:space="preserve">Formal Case Referral Update — Antitrust / Obstruction Nexus</w:t>
      </w:r>
    </w:p>
    <w:p>
      <w:pPr>
        <w:spacing w:before="0" w:after="60"/>
      </w:pPr>
      <w:r>
        <w:t xml:space="preserve"/>
      </w:r>
    </w:p>
    <w:p>
      <w:pPr>
        <w:pBdr>
          <w:bottom w:val="single" w:color="1A1A2E" w:sz="4" w:space="4"/>
        </w:pBdr>
        <w:spacing w:before="140" w:after="140"/>
      </w:pPr>
      <w:r>
        <w:t xml:space="preserve"/>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Dear Sir or Madam,</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This notice is transmitted to inform the Department of Justice, Criminal Division of the current status of an active federal civil proceeding that incorporates the materials previously submitted to your office, and to formally request coordination between federal executive and judicial channels.</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This is not a request for confirmation of receipt of prior submissions. It is a formal notification of a judicial development that directly concerns the materials in your possession, and that creates an institutional basis for action that did not previously exist.</w:t>
      </w:r>
    </w:p>
    <w:p>
      <w:pPr>
        <w:spacing w:before="0" w:after="60"/>
      </w:pPr>
      <w:r>
        <w:t xml:space="preserve"/>
      </w:r>
    </w:p>
    <w:p>
      <w:pPr>
        <w:pBdr>
          <w:left w:val="thick" w:color="0F3460" w:sz="14" w:space="10"/>
        </w:pBdr>
        <w:spacing w:before="120" w:after="120"/>
        <w:ind w:left="400"/>
      </w:pPr>
      <w:r>
        <w:rPr>
          <w:rFonts w:ascii="Arial" w:cs="Arial" w:eastAsia="Arial" w:hAnsi="Arial"/>
          <w:b/>
          <w:bCs/>
          <w:color w:val="0F3460"/>
          <w:sz w:val="19"/>
          <w:szCs w:val="19"/>
        </w:rPr>
        <w:t xml:space="preserve">An active federal case number exists: 1:25-cv-10163-LTS. Chief Judge Laura Taylor Swain of the Southern District of New York has entered a transfer order to the District of Columbia, expressly recognizing the emergency character of the matter. This is an established judicial fact, not a claim or allegation.</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I. WHAT IS NOW ESTABLISHED ON THE FEDERAL RECORD</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 following facts are established, documented, and verifiable through official federal records:</w:t>
      </w:r>
    </w:p>
    <w:p>
      <w:pPr>
        <w:spacing w:before="0" w:after="60"/>
      </w:pPr>
      <w:r>
        <w:t xml:space="preserve"/>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December 8, 2025: Pierre Deglaire physically attended the FBI Field Office in New York and engaged in direct in-person exchanges with multiple FBI representatives concerning the matters documented in the Global Filing;</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December 9, 2025: The 320-page Global Filing was delivered by USPS to the FBI Building, New York (ZIP 10278), confirmed by USPS tracking at 11:23 AM;</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December 8–10, 2025: The same Global Filing was deposited with the SDNY Pro Se Office and opened as Case 1:25-cv-10163-UA, subsequently redesignated 1:25-cv-10163-LTS;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January 9, 2026: Chief Judge Laura Taylor Swain reassigned the case sua sponte — a judicial act reflecting active consideration of the filing;</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Approximately January 12, 2026: Chief Judge Swain entered a transfer order to the U.S. District Court for the District of Columbia, with the emergency character expressly noted and the standard waiting period waived;</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The Global Filing was also transmitted via U.S. Embassy diplomatic channel for secure routing to the FBI and DOJ.</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II. NATURE OF THE UNDERLYING MATTER — FEDERAL NEXUS</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 Global Filing documents a decade-long convergence of the following, each of which independently generates federal interest:</w:t>
      </w:r>
    </w:p>
    <w:p>
      <w:pPr>
        <w:spacing w:before="0" w:after="60"/>
      </w:pPr>
      <w:r>
        <w:t xml:space="preserve"/>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Systemic obstruction of justice across France, the UK, and the United States, including documented interference with communications on U.S. soil between December 5–13, 2025 — complete mobile neutralization in New York while the Plaintiff’s phone functioned normally in Spain and Germany;</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Coordinated market suppression of Lucy Bank — a validated European banking innovation — with transnational scope and direct U.S. antitrust and financial market integrity relevance;</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Interference with federal judicial processes on U.S. territory, including non-delivery anomalies affecting submissions to U.S. federal institutions;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Documented physical attacks: vehicle sabotage, poisoning attempts, unlawful detention, forced psychiatric internment — all against an individual carrying evidence of systemic financial crime implicating state-linked and major banking actors;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Conservative financial damage assessment: €124.4 billion across multiple destroyed projects and jurisdictions.</w:t>
      </w:r>
    </w:p>
    <w:p>
      <w:pPr>
        <w:spacing w:before="0" w:after="60"/>
      </w:pPr>
      <w:r>
        <w:t xml:space="preserve"/>
      </w:r>
    </w:p>
    <w:p>
      <w:pPr>
        <w:pBdr>
          <w:left w:val="thick" w:color="1A6B3C" w:sz="14" w:space="10"/>
        </w:pBdr>
        <w:spacing w:before="120" w:after="120"/>
        <w:ind w:left="400"/>
      </w:pPr>
      <w:r>
        <w:rPr>
          <w:rFonts w:ascii="Arial" w:cs="Arial" w:eastAsia="Arial" w:hAnsi="Arial"/>
          <w:b/>
          <w:bCs/>
          <w:color w:val="1A6B3C"/>
          <w:sz w:val="19"/>
          <w:szCs w:val="19"/>
        </w:rPr>
        <w:t xml:space="preserve">DOJ NEXUS: The coordinated suppression of Lucy Bank over five+ years by state-linked and major banking actors constitutes potential violations of the Sherman Act (15 U.S.C. § 1), the FCPA, and obstruction statutes (18 U.S.C. § 1512). These are matters within DOJ Criminal Division and Antitrust Division jurisdiction, independent of the civil proceedings.</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III. WHY THIS NOTICE MATTERS NOW</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Prior communications to the DOJ were transmitted in a context where no formal judicial proceeding existed in the United States. That context has fundamentally changed.</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 existence of Case 1:25-cv-10163-LTS and the transfer order of Chief Judge Swain create an institutional framework that was previously absent:</w:t>
      </w:r>
    </w:p>
    <w:p>
      <w:pPr>
        <w:spacing w:before="0" w:after="60"/>
      </w:pPr>
      <w:r>
        <w:t xml:space="preserve"/>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The materials previously submitted are now formally connected to an active federal civil proceeding;</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A federal judge has already assessed the matter as sufficiently serious to warrant sua sponte reassignment and emergency transfer;</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The DDC has jurisdiction over matters involving the French State, foreign sovereign immunity exceptions, and federal regulatory interests;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Coordination between federal executive (DOJ) and judicial (DDC) channels is now procedurally natural and appropriate.</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 Plaintiff does not seek to direct federal investigative priorities. He seeks to ensure that the institutional actors who already hold relevant materials are aware of this judicial development, so that coordination can occur through appropriate internal channels.</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IV. SPECIFIC REQUESTS</w:t>
      </w:r>
    </w:p>
    <w:p>
      <w:pPr>
        <w:spacing w:before="0" w:after="60"/>
      </w:pPr>
      <w:r>
        <w:t xml:space="preserve"/>
      </w:r>
    </w:p>
    <w:p>
      <w:pPr>
        <w:spacing w:before="100" w:after="60"/>
      </w:pPr>
      <w:r>
        <w:rPr>
          <w:rFonts w:ascii="Georgia" w:cs="Georgia" w:eastAsia="Georgia" w:hAnsi="Georgia"/>
          <w:b/>
          <w:bCs/>
          <w:sz w:val="22"/>
          <w:szCs w:val="22"/>
          <w:u w:val="single"/>
        </w:rPr>
        <w:t xml:space="preserve">1. Acknowledgment of This Notice</w:t>
      </w:r>
    </w:p>
    <w:p>
      <w:pPr>
        <w:spacing w:before="100" w:after="100" w:line="280"/>
        <w:jc w:val="both"/>
      </w:pPr>
      <w:r>
        <w:rPr>
          <w:rFonts w:ascii="Georgia" w:cs="Georgia" w:eastAsia="Georgia" w:hAnsi="Georgia"/>
          <w:b w:val="false"/>
          <w:bCs w:val="false"/>
          <w:i w:val="false"/>
          <w:iCs w:val="false"/>
          <w:sz w:val="22"/>
          <w:szCs w:val="22"/>
        </w:rPr>
        <w:t xml:space="preserve">Written confirmation that this notice has been received and associated with prior submissions referencing the Global Filing of December 8–9, 2025 and Case 1:25-cv-10163-LTS.</w:t>
      </w:r>
    </w:p>
    <w:p>
      <w:pPr>
        <w:spacing w:before="0" w:after="60"/>
      </w:pPr>
      <w:r>
        <w:t xml:space="preserve"/>
      </w:r>
    </w:p>
    <w:p>
      <w:pPr>
        <w:spacing w:before="100" w:after="60"/>
      </w:pPr>
      <w:r>
        <w:rPr>
          <w:rFonts w:ascii="Georgia" w:cs="Georgia" w:eastAsia="Georgia" w:hAnsi="Georgia"/>
          <w:b/>
          <w:bCs/>
          <w:sz w:val="22"/>
          <w:szCs w:val="22"/>
          <w:u w:val="single"/>
        </w:rPr>
        <w:t xml:space="preserve">2. Internal Routing</w:t>
      </w:r>
    </w:p>
    <w:p>
      <w:pPr>
        <w:spacing w:before="100" w:after="100" w:line="280"/>
        <w:jc w:val="both"/>
      </w:pPr>
      <w:r>
        <w:rPr>
          <w:rFonts w:ascii="Georgia" w:cs="Georgia" w:eastAsia="Georgia" w:hAnsi="Georgia"/>
          <w:b w:val="false"/>
          <w:bCs w:val="false"/>
          <w:i w:val="false"/>
          <w:iCs w:val="false"/>
          <w:sz w:val="22"/>
          <w:szCs w:val="22"/>
        </w:rPr>
        <w:t xml:space="preserve">Routing of this notice and the associated case file to the appropriate unit within the DOJ Criminal Division and/or Antitrust Division, for assessment of whether the documented facts warrant independent federal investigative action alongside the civil proceedings.</w:t>
      </w:r>
    </w:p>
    <w:p>
      <w:pPr>
        <w:spacing w:before="0" w:after="60"/>
      </w:pPr>
      <w:r>
        <w:t xml:space="preserve"/>
      </w:r>
    </w:p>
    <w:p>
      <w:pPr>
        <w:spacing w:before="100" w:after="60"/>
      </w:pPr>
      <w:r>
        <w:rPr>
          <w:rFonts w:ascii="Georgia" w:cs="Georgia" w:eastAsia="Georgia" w:hAnsi="Georgia"/>
          <w:b/>
          <w:bCs/>
          <w:sz w:val="22"/>
          <w:szCs w:val="22"/>
          <w:u w:val="single"/>
        </w:rPr>
        <w:t xml:space="preserve">3. Preservation of Submitted Materials</w:t>
      </w:r>
    </w:p>
    <w:p>
      <w:pPr>
        <w:spacing w:before="100" w:after="100" w:line="280"/>
        <w:jc w:val="both"/>
      </w:pPr>
      <w:r>
        <w:rPr>
          <w:rFonts w:ascii="Georgia" w:cs="Georgia" w:eastAsia="Georgia" w:hAnsi="Georgia"/>
          <w:b w:val="false"/>
          <w:bCs w:val="false"/>
          <w:i w:val="false"/>
          <w:iCs w:val="false"/>
          <w:sz w:val="22"/>
          <w:szCs w:val="22"/>
        </w:rPr>
        <w:t xml:space="preserve">Confirmation that the Global Filing and all accompanying materials previously delivered are preserved and associated with Case 1:25-cv-10163-LTS for any coordination with DDC proceedings.</w:t>
      </w:r>
    </w:p>
    <w:p>
      <w:pPr>
        <w:spacing w:before="0" w:after="60"/>
      </w:pPr>
      <w:r>
        <w:t xml:space="preserve"/>
      </w:r>
    </w:p>
    <w:p>
      <w:pPr>
        <w:spacing w:before="100" w:after="60"/>
      </w:pPr>
      <w:r>
        <w:rPr>
          <w:rFonts w:ascii="Georgia" w:cs="Georgia" w:eastAsia="Georgia" w:hAnsi="Georgia"/>
          <w:b/>
          <w:bCs/>
          <w:sz w:val="22"/>
          <w:szCs w:val="22"/>
          <w:u w:val="single"/>
        </w:rPr>
        <w:t xml:space="preserve">4. Secure Communication Channel</w:t>
      </w:r>
    </w:p>
    <w:p>
      <w:pPr>
        <w:spacing w:before="100" w:after="100" w:line="280"/>
        <w:jc w:val="both"/>
      </w:pPr>
      <w:r>
        <w:rPr>
          <w:rFonts w:ascii="Georgia" w:cs="Georgia" w:eastAsia="Georgia" w:hAnsi="Georgia"/>
          <w:b w:val="false"/>
          <w:bCs w:val="false"/>
          <w:i w:val="false"/>
          <w:iCs w:val="false"/>
          <w:sz w:val="22"/>
          <w:szCs w:val="22"/>
        </w:rPr>
        <w:t xml:space="preserve">Identification of a direct and secure channel for transmission of a Supplemental Submission covering post-December 2025 facts, and for receipt of procedural guidance.</w:t>
      </w:r>
    </w:p>
    <w:p>
      <w:pPr>
        <w:spacing w:before="0" w:after="60"/>
      </w:pPr>
      <w:r>
        <w:t xml:space="preserve"/>
      </w:r>
    </w:p>
    <w:p>
      <w:pPr>
        <w:pBdr>
          <w:bottom w:val="single" w:color="1A1A2E" w:sz="4" w:space="4"/>
        </w:pBdr>
        <w:spacing w:before="140" w:after="140"/>
      </w:pPr>
      <w:r>
        <w:t xml:space="preserve"/>
      </w:r>
    </w:p>
    <w:p>
      <w:pPr>
        <w:spacing w:before="260" w:after="120"/>
      </w:pPr>
      <w:r>
        <w:rPr>
          <w:rFonts w:ascii="Georgia" w:cs="Georgia" w:eastAsia="Georgia" w:hAnsi="Georgia"/>
          <w:b/>
          <w:bCs/>
          <w:color w:val="1A1A2E"/>
          <w:sz w:val="24"/>
          <w:szCs w:val="24"/>
        </w:rPr>
        <w:t xml:space="preserve">V. POST-FILING SUPPLEMENTARY FACTS</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Since December 8, 2025, additional facts have arisen that post-date the Global Filing and will be formally submitted upon establishment of a secure channel. These include:</w:t>
      </w:r>
    </w:p>
    <w:p>
      <w:pPr>
        <w:spacing w:before="0" w:after="60"/>
      </w:pPr>
      <w:r>
        <w:t xml:space="preserve"/>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Continuing telecommunications neutralization with the same geographic and temporal pattern as New York, documented on subsequent occasions in multiple countries;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Administrative obstruction in the United Kingdom: a fabricated emergency hearing at the Rolls Building on November 26, 2025 that left zero procedural trace, followed by five months of institutional silence across four UK institutions;</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New financial strangulation events connected to the same actors and mechanisms documented in the Global Filing;</w:t>
      </w:r>
    </w:p>
    <w:p>
      <w:pPr>
        <w:spacing w:before="60" w:after="60" w:line="276"/>
        <w:ind w:left="720" w:hanging="360"/>
      </w:pPr>
      <w:r>
        <w:rPr>
          <w:rFonts w:ascii="Georgia" w:cs="Georgia" w:eastAsia="Georgia" w:hAnsi="Georgia"/>
          <w:sz w:val="22"/>
          <w:szCs w:val="22"/>
        </w:rPr>
        <w:t xml:space="preserve">—  </w:t>
      </w:r>
      <w:r>
        <w:rPr>
          <w:rFonts w:ascii="Georgia" w:cs="Georgia" w:eastAsia="Georgia" w:hAnsi="Georgia"/>
          <w:b w:val="false"/>
          <w:bCs w:val="false"/>
          <w:i w:val="false"/>
          <w:iCs w:val="false"/>
          <w:sz w:val="22"/>
          <w:szCs w:val="22"/>
        </w:rPr>
        <w:t xml:space="preserve">Digital interference during preparation of federal submissions.</w:t>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These facts are noted to ensure the DOJ is aware that the evidentiary record has continued to develop and that the Global Filing does not represent the totality of documented facts.</w:t>
      </w:r>
    </w:p>
    <w:p>
      <w:pPr>
        <w:spacing w:before="0" w:after="60"/>
      </w:pPr>
      <w:r>
        <w:t xml:space="preserve"/>
      </w:r>
    </w:p>
    <w:p>
      <w:pPr>
        <w:pBdr>
          <w:bottom w:val="single" w:color="1A1A2E" w:sz="4" w:space="4"/>
        </w:pBdr>
        <w:spacing w:before="140" w:after="140"/>
      </w:pPr>
      <w:r>
        <w:t xml:space="preserve"/>
      </w:r>
    </w:p>
    <w:p>
      <w:pPr>
        <w:pBdr>
          <w:left w:val="thick" w:color="C0392B" w:sz="14" w:space="10"/>
        </w:pBdr>
        <w:spacing w:before="120" w:after="120"/>
        <w:ind w:left="400"/>
      </w:pPr>
      <w:r>
        <w:rPr>
          <w:rFonts w:ascii="Arial" w:cs="Arial" w:eastAsia="Arial" w:hAnsi="Arial"/>
          <w:b/>
          <w:bCs/>
          <w:color w:val="C0392B"/>
          <w:sz w:val="18"/>
          <w:szCs w:val="18"/>
        </w:rPr>
        <w:t xml:space="preserve">This notice is a formal legal instrument transmitted by email with delivery tracking. A copy is simultaneously transmitted to the other addressed federal channel, to the SDNY and DDC clerks, and to the ECHR Registry. This transmission will be relied upon in all ongoing proceedings.</w:t>
      </w:r>
    </w:p>
    <w:p>
      <w:pPr>
        <w:spacing w:before="0" w:after="60"/>
      </w:pPr>
      <w:r>
        <w:t xml:space="preserve"/>
      </w:r>
    </w:p>
    <w:p>
      <w:pPr>
        <w:pBdr>
          <w:bottom w:val="single" w:color="1A1A2E" w:sz="4" w:space="4"/>
        </w:pBdr>
        <w:spacing w:before="140" w:after="140"/>
      </w:pPr>
      <w:r>
        <w:t xml:space="preserve"/>
      </w:r>
    </w:p>
    <w:p>
      <w:pPr>
        <w:spacing w:before="0" w:after="60"/>
      </w:pPr>
      <w:r>
        <w:t xml:space="preserve"/>
      </w:r>
    </w:p>
    <w:p>
      <w:pPr>
        <w:spacing w:before="100" w:after="100" w:line="280"/>
        <w:jc w:val="both"/>
      </w:pPr>
      <w:r>
        <w:rPr>
          <w:rFonts w:ascii="Georgia" w:cs="Georgia" w:eastAsia="Georgia" w:hAnsi="Georgia"/>
          <w:b w:val="false"/>
          <w:bCs w:val="false"/>
          <w:i w:val="false"/>
          <w:iCs w:val="false"/>
          <w:sz w:val="22"/>
          <w:szCs w:val="22"/>
        </w:rPr>
        <w:t xml:space="preserve">Respectfully submitted,</w:t>
      </w:r>
    </w:p>
    <w:p>
      <w:pPr>
        <w:spacing w:before="0" w:after="60"/>
      </w:pPr>
      <w:r>
        <w:t xml:space="preserve"/>
      </w:r>
    </w:p>
    <w:p>
      <w:pPr>
        <w:spacing w:before="80" w:after="40"/>
      </w:pPr>
      <w:r>
        <w:rPr>
          <w:rFonts w:ascii="Georgia" w:cs="Georgia" w:eastAsia="Georgia" w:hAnsi="Georgia"/>
          <w:b/>
          <w:bCs/>
          <w:sz w:val="24"/>
          <w:szCs w:val="24"/>
        </w:rPr>
        <w:t xml:space="preserve">Pierre Deglaire</w:t>
      </w:r>
    </w:p>
    <w:p>
      <w:pPr>
        <w:spacing w:before="40" w:after="40"/>
      </w:pPr>
      <w:r>
        <w:rPr>
          <w:rFonts w:ascii="Georgia" w:cs="Georgia" w:eastAsia="Georgia" w:hAnsi="Georgia"/>
          <w:i/>
          <w:iCs/>
          <w:sz w:val="20"/>
          <w:szCs w:val="20"/>
        </w:rPr>
        <w:t xml:space="preserve">Plaintiff, Pro Se</w:t>
      </w:r>
    </w:p>
    <w:p>
      <w:pPr>
        <w:spacing w:before="40" w:after="40"/>
      </w:pPr>
      <w:r>
        <w:rPr>
          <w:rFonts w:ascii="Georgia" w:cs="Georgia" w:eastAsia="Georgia" w:hAnsi="Georgia"/>
          <w:sz w:val="20"/>
          <w:szCs w:val="20"/>
        </w:rPr>
        <w:t xml:space="preserve">7 rue Guillaume Apollinaire, 33700 Mérignac, France</w:t>
      </w:r>
    </w:p>
    <w:p>
      <w:pPr>
        <w:spacing w:before="40" w:after="40"/>
      </w:pPr>
      <w:r>
        <w:rPr>
          <w:rFonts w:ascii="Georgia" w:cs="Georgia" w:eastAsia="Georgia" w:hAnsi="Georgia"/>
          <w:sz w:val="20"/>
          <w:szCs w:val="20"/>
        </w:rPr>
        <w:t xml:space="preserve">+33 6 63 90 13 01</w:t>
      </w:r>
    </w:p>
    <w:p>
      <w:pPr>
        <w:spacing w:before="40" w:after="40"/>
      </w:pPr>
      <w:r>
        <w:rPr>
          <w:rFonts w:ascii="Georgia" w:cs="Georgia" w:eastAsia="Georgia" w:hAnsi="Georgia"/>
          <w:sz w:val="20"/>
          <w:szCs w:val="20"/>
        </w:rPr>
        <w:t xml:space="preserve">pierre.deglaire@gmail.com | deglaire.aoic@gmail.com</w:t>
      </w:r>
    </w:p>
    <w:p>
      <w:pPr>
        <w:spacing w:before="40" w:after="40"/>
      </w:pPr>
      <w:r>
        <w:rPr>
          <w:rFonts w:ascii="Georgia" w:cs="Georgia" w:eastAsia="Georgia" w:hAnsi="Georgia"/>
          <w:sz w:val="20"/>
          <w:szCs w:val="20"/>
        </w:rPr>
        <w:t xml:space="preserve">15 March 2026</w:t>
      </w:r>
    </w:p>
    <w:p>
      <w:pPr>
        <w:spacing w:before="0" w:after="120"/>
      </w:pPr>
      <w:r>
        <w:t xml:space="preserve"/>
      </w:r>
    </w:p>
    <w:p>
      <w:pPr>
        <w:pBdr>
          <w:bottom w:val="single" w:color="1A1A2E" w:sz="4" w:space="4"/>
        </w:pBdr>
        <w:spacing w:before="140" w:after="140"/>
      </w:pPr>
      <w:r>
        <w:t xml:space="preserve"/>
      </w:r>
    </w:p>
    <w:p>
      <w:pPr>
        <w:spacing w:before="100" w:after="60"/>
      </w:pPr>
      <w:r>
        <w:rPr>
          <w:rFonts w:ascii="Arial" w:cs="Arial" w:eastAsia="Arial" w:hAnsi="Arial"/>
          <w:b/>
          <w:bCs/>
          <w:sz w:val="18"/>
          <w:szCs w:val="18"/>
        </w:rPr>
        <w:t xml:space="preserve">COPIES TRANSMITTED SIMULTANEOUSLY TO:</w:t>
      </w:r>
    </w:p>
    <w:p>
      <w:pPr>
        <w:spacing w:before="40" w:after="40"/>
      </w:pPr>
      <w:r>
        <w:rPr>
          <w:rFonts w:ascii="Arial" w:cs="Arial" w:eastAsia="Arial" w:hAnsi="Arial"/>
          <w:sz w:val="18"/>
          <w:szCs w:val="18"/>
        </w:rPr>
        <w:t xml:space="preserve">Federal Bureau of Investigation — New York Field Office</w:t>
      </w:r>
    </w:p>
    <w:p>
      <w:pPr>
        <w:spacing w:before="40" w:after="40"/>
      </w:pPr>
      <w:r>
        <w:rPr>
          <w:rFonts w:ascii="Arial" w:cs="Arial" w:eastAsia="Arial" w:hAnsi="Arial"/>
          <w:sz w:val="18"/>
          <w:szCs w:val="18"/>
        </w:rPr>
        <w:t xml:space="preserve">Clerk of Court, U.S. District Court for the District of Columbia</w:t>
      </w:r>
    </w:p>
    <w:p>
      <w:pPr>
        <w:spacing w:before="40" w:after="40"/>
      </w:pPr>
      <w:r>
        <w:rPr>
          <w:rFonts w:ascii="Arial" w:cs="Arial" w:eastAsia="Arial" w:hAnsi="Arial"/>
          <w:sz w:val="18"/>
          <w:szCs w:val="18"/>
        </w:rPr>
        <w:t xml:space="preserve">Clerk of Court, U.S. District Court, Southern District of New York</w:t>
      </w:r>
    </w:p>
    <w:p>
      <w:pPr>
        <w:spacing w:before="40" w:after="40"/>
      </w:pPr>
      <w:r>
        <w:rPr>
          <w:rFonts w:ascii="Arial" w:cs="Arial" w:eastAsia="Arial" w:hAnsi="Arial"/>
          <w:sz w:val="18"/>
          <w:szCs w:val="18"/>
        </w:rPr>
        <w:t xml:space="preserve">European Court of Human Rights — Registry (Ref. 30346/25)</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60" w:after="120"/>
      <w:outlineLvl w:val="0"/>
    </w:pPr>
    <w:rPr>
      <w:rFonts w:ascii="Georgia" w:cs="Georgia" w:eastAsia="Georgia" w:hAnsi="Georgia"/>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2026-03-15T08:57:52.361Z</dcterms:created>
  <dcterms:modified xsi:type="dcterms:W3CDTF">2026-03-15T08:57:52.362Z</dcterms:modified>
</cp:coreProperties>
</file>

<file path=docProps/custom.xml><?xml version="1.0" encoding="utf-8"?>
<Properties xmlns="http://schemas.openxmlformats.org/officeDocument/2006/custom-properties" xmlns:vt="http://schemas.openxmlformats.org/officeDocument/2006/docPropsVTypes"/>
</file>