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39DB5" w14:textId="77777777" w:rsidR="00A03D3A" w:rsidRDefault="002D08DA">
      <w:pPr>
        <w:spacing w:after="80"/>
        <w:jc w:val="center"/>
      </w:pPr>
      <w:r>
        <w:rPr>
          <w:b/>
          <w:bCs/>
          <w:caps/>
          <w:color w:val="1A1A2E"/>
          <w:sz w:val="30"/>
          <w:szCs w:val="30"/>
        </w:rPr>
        <w:t>FORMAL NOTICE OF INSTITUTIONAL LIABILITY</w:t>
      </w:r>
    </w:p>
    <w:p w14:paraId="50D5DBC8" w14:textId="77777777" w:rsidR="00A03D3A" w:rsidRDefault="002D08DA">
      <w:pPr>
        <w:spacing w:after="80"/>
        <w:jc w:val="center"/>
      </w:pPr>
      <w:r>
        <w:rPr>
          <w:b/>
          <w:bCs/>
          <w:caps/>
          <w:color w:val="1A1A2E"/>
          <w:sz w:val="30"/>
          <w:szCs w:val="30"/>
        </w:rPr>
        <w:t>AND LAST OPPORTUNITY TO ACT</w:t>
      </w:r>
    </w:p>
    <w:p w14:paraId="375D55E2" w14:textId="77777777" w:rsidR="00A03D3A" w:rsidRDefault="00A03D3A">
      <w:pPr>
        <w:pBdr>
          <w:bottom w:val="single" w:sz="4" w:space="4" w:color="1A1A2E"/>
        </w:pBdr>
        <w:spacing w:before="160" w:after="160"/>
      </w:pPr>
    </w:p>
    <w:p w14:paraId="12B48ADB" w14:textId="77777777" w:rsidR="00A03D3A" w:rsidRDefault="00A03D3A"/>
    <w:p w14:paraId="333FBF89" w14:textId="77777777" w:rsidR="00A03D3A" w:rsidRPr="002A6FF9" w:rsidRDefault="002D08DA">
      <w:pPr>
        <w:spacing w:before="60" w:after="60"/>
        <w:rPr>
          <w:lang w:val="fr-FR"/>
        </w:rPr>
      </w:pPr>
      <w:proofErr w:type="gramStart"/>
      <w:r w:rsidRPr="002A6FF9">
        <w:rPr>
          <w:rFonts w:ascii="Arial" w:eastAsia="Arial" w:hAnsi="Arial" w:cs="Arial"/>
          <w:b/>
          <w:bCs/>
          <w:sz w:val="20"/>
          <w:szCs w:val="20"/>
          <w:lang w:val="fr-FR"/>
        </w:rPr>
        <w:t>FROM:</w:t>
      </w:r>
      <w:proofErr w:type="gramEnd"/>
      <w:r w:rsidRPr="002A6FF9">
        <w:rPr>
          <w:rFonts w:ascii="Arial" w:eastAsia="Arial" w:hAnsi="Arial" w:cs="Arial"/>
          <w:b/>
          <w:bCs/>
          <w:sz w:val="20"/>
          <w:szCs w:val="20"/>
          <w:lang w:val="fr-FR"/>
        </w:rPr>
        <w:t xml:space="preserve"> </w:t>
      </w:r>
      <w:r w:rsidRPr="002A6FF9">
        <w:rPr>
          <w:rFonts w:ascii="Arial" w:eastAsia="Arial" w:hAnsi="Arial" w:cs="Arial"/>
          <w:sz w:val="20"/>
          <w:szCs w:val="20"/>
          <w:lang w:val="fr-FR"/>
        </w:rPr>
        <w:t xml:space="preserve">Pierre </w:t>
      </w:r>
      <w:proofErr w:type="spellStart"/>
      <w:r w:rsidRPr="002A6FF9">
        <w:rPr>
          <w:rFonts w:ascii="Arial" w:eastAsia="Arial" w:hAnsi="Arial" w:cs="Arial"/>
          <w:sz w:val="20"/>
          <w:szCs w:val="20"/>
          <w:lang w:val="fr-FR"/>
        </w:rPr>
        <w:t>Deglaire</w:t>
      </w:r>
      <w:proofErr w:type="spellEnd"/>
    </w:p>
    <w:p w14:paraId="2FA3CBA7" w14:textId="77777777" w:rsidR="00A03D3A" w:rsidRPr="002A6FF9" w:rsidRDefault="002D08DA">
      <w:pPr>
        <w:spacing w:before="60" w:after="60"/>
        <w:rPr>
          <w:lang w:val="fr-FR"/>
        </w:rPr>
      </w:pPr>
      <w:r w:rsidRPr="002A6FF9">
        <w:rPr>
          <w:rFonts w:ascii="Arial" w:eastAsia="Arial" w:hAnsi="Arial" w:cs="Arial"/>
          <w:b/>
          <w:bCs/>
          <w:sz w:val="20"/>
          <w:szCs w:val="20"/>
          <w:lang w:val="fr-FR"/>
        </w:rPr>
        <w:t xml:space="preserve"> </w:t>
      </w:r>
      <w:r w:rsidRPr="002A6FF9">
        <w:rPr>
          <w:rFonts w:ascii="Arial" w:eastAsia="Arial" w:hAnsi="Arial" w:cs="Arial"/>
          <w:sz w:val="20"/>
          <w:szCs w:val="20"/>
          <w:lang w:val="fr-FR"/>
        </w:rPr>
        <w:t>7 rue Guillaume Apollinaire, 33700 Mérignac, France</w:t>
      </w:r>
    </w:p>
    <w:p w14:paraId="39C89A30" w14:textId="77777777" w:rsidR="00A03D3A" w:rsidRPr="002A6FF9" w:rsidRDefault="002D08DA">
      <w:pPr>
        <w:spacing w:before="60" w:after="60"/>
        <w:rPr>
          <w:lang w:val="fr-FR"/>
        </w:rPr>
      </w:pPr>
      <w:r w:rsidRPr="002A6FF9">
        <w:rPr>
          <w:rFonts w:ascii="Arial" w:eastAsia="Arial" w:hAnsi="Arial" w:cs="Arial"/>
          <w:b/>
          <w:bCs/>
          <w:sz w:val="20"/>
          <w:szCs w:val="20"/>
          <w:lang w:val="fr-FR"/>
        </w:rPr>
        <w:t xml:space="preserve"> </w:t>
      </w:r>
      <w:r w:rsidRPr="002A6FF9">
        <w:rPr>
          <w:rFonts w:ascii="Arial" w:eastAsia="Arial" w:hAnsi="Arial" w:cs="Arial"/>
          <w:sz w:val="20"/>
          <w:szCs w:val="20"/>
          <w:lang w:val="fr-FR"/>
        </w:rPr>
        <w:t>+33 6 63 90 13 01</w:t>
      </w:r>
    </w:p>
    <w:p w14:paraId="5FCFF914" w14:textId="77777777" w:rsidR="00A03D3A" w:rsidRPr="002A6FF9" w:rsidRDefault="002D08DA">
      <w:pPr>
        <w:spacing w:before="60" w:after="60"/>
        <w:rPr>
          <w:lang w:val="fr-FR"/>
        </w:rPr>
      </w:pPr>
      <w:r w:rsidRPr="002A6FF9">
        <w:rPr>
          <w:rFonts w:ascii="Arial" w:eastAsia="Arial" w:hAnsi="Arial" w:cs="Arial"/>
          <w:b/>
          <w:bCs/>
          <w:sz w:val="20"/>
          <w:szCs w:val="20"/>
          <w:lang w:val="fr-FR"/>
        </w:rPr>
        <w:t xml:space="preserve"> </w:t>
      </w:r>
      <w:r w:rsidRPr="002A6FF9">
        <w:rPr>
          <w:rFonts w:ascii="Arial" w:eastAsia="Arial" w:hAnsi="Arial" w:cs="Arial"/>
          <w:sz w:val="20"/>
          <w:szCs w:val="20"/>
          <w:lang w:val="fr-FR"/>
        </w:rPr>
        <w:t>pierre.deglaire@gmail.com | deglaire.aoic@gmail.com</w:t>
      </w:r>
    </w:p>
    <w:p w14:paraId="489365B5" w14:textId="77777777" w:rsidR="00A03D3A" w:rsidRPr="002A6FF9" w:rsidRDefault="00A03D3A">
      <w:pPr>
        <w:rPr>
          <w:lang w:val="fr-FR"/>
        </w:rPr>
      </w:pPr>
    </w:p>
    <w:p w14:paraId="59B1AABE" w14:textId="77777777" w:rsidR="00A03D3A" w:rsidRDefault="002D08DA">
      <w:pPr>
        <w:spacing w:before="60" w:after="60"/>
      </w:pPr>
      <w:r>
        <w:rPr>
          <w:rFonts w:ascii="Arial" w:eastAsia="Arial" w:hAnsi="Arial" w:cs="Arial"/>
          <w:b/>
          <w:bCs/>
          <w:sz w:val="20"/>
          <w:szCs w:val="20"/>
        </w:rPr>
        <w:t xml:space="preserve">DATE: </w:t>
      </w:r>
      <w:r>
        <w:rPr>
          <w:rFonts w:ascii="Arial" w:eastAsia="Arial" w:hAnsi="Arial" w:cs="Arial"/>
          <w:sz w:val="20"/>
          <w:szCs w:val="20"/>
        </w:rPr>
        <w:t>15 March 2026</w:t>
      </w:r>
    </w:p>
    <w:p w14:paraId="0FF01AA3" w14:textId="77777777" w:rsidR="00A03D3A" w:rsidRDefault="00A03D3A"/>
    <w:p w14:paraId="093A8A01" w14:textId="77777777" w:rsidR="00A03D3A" w:rsidRDefault="002D08DA">
      <w:pPr>
        <w:spacing w:before="60" w:after="60"/>
      </w:pPr>
      <w:r>
        <w:rPr>
          <w:rFonts w:ascii="Arial" w:eastAsia="Arial" w:hAnsi="Arial" w:cs="Arial"/>
          <w:b/>
          <w:bCs/>
          <w:sz w:val="20"/>
          <w:szCs w:val="20"/>
        </w:rPr>
        <w:t xml:space="preserve">TO (SIMULTANEOUS TRANSMISSION): </w:t>
      </w:r>
    </w:p>
    <w:p w14:paraId="25CCF0FA" w14:textId="77777777" w:rsidR="00A03D3A" w:rsidRDefault="002D08DA">
      <w:pPr>
        <w:spacing w:before="60" w:after="60"/>
      </w:pPr>
      <w:r>
        <w:rPr>
          <w:rFonts w:ascii="Arial" w:eastAsia="Arial" w:hAnsi="Arial" w:cs="Arial"/>
          <w:b/>
          <w:bCs/>
          <w:sz w:val="20"/>
          <w:szCs w:val="20"/>
        </w:rPr>
        <w:t xml:space="preserve">1. </w:t>
      </w:r>
      <w:r>
        <w:rPr>
          <w:rFonts w:ascii="Arial" w:eastAsia="Arial" w:hAnsi="Arial" w:cs="Arial"/>
          <w:sz w:val="20"/>
          <w:szCs w:val="20"/>
        </w:rPr>
        <w:t>The Rt Hon. The Lord Chancellor and Secretary of State for Justice</w:t>
      </w:r>
    </w:p>
    <w:p w14:paraId="42456B88" w14:textId="77777777" w:rsidR="00A03D3A" w:rsidRDefault="002D08DA">
      <w:pPr>
        <w:spacing w:before="60" w:after="60"/>
      </w:pPr>
      <w:r>
        <w:rPr>
          <w:rFonts w:ascii="Arial" w:eastAsia="Arial" w:hAnsi="Arial" w:cs="Arial"/>
          <w:b/>
          <w:bCs/>
          <w:sz w:val="20"/>
          <w:szCs w:val="20"/>
        </w:rPr>
        <w:t xml:space="preserve"> </w:t>
      </w:r>
      <w:r>
        <w:rPr>
          <w:rFonts w:ascii="Arial" w:eastAsia="Arial" w:hAnsi="Arial" w:cs="Arial"/>
          <w:sz w:val="20"/>
          <w:szCs w:val="20"/>
        </w:rPr>
        <w:t>Ministry of Justice, 102 Petty France, London SW1H 9AJ</w:t>
      </w:r>
    </w:p>
    <w:p w14:paraId="7C3B0988" w14:textId="77777777" w:rsidR="00A03D3A" w:rsidRDefault="002D08DA">
      <w:pPr>
        <w:spacing w:before="60" w:after="60"/>
      </w:pPr>
      <w:r>
        <w:rPr>
          <w:rFonts w:ascii="Arial" w:eastAsia="Arial" w:hAnsi="Arial" w:cs="Arial"/>
          <w:b/>
          <w:bCs/>
          <w:sz w:val="20"/>
          <w:szCs w:val="20"/>
        </w:rPr>
        <w:t xml:space="preserve">2. </w:t>
      </w:r>
      <w:r>
        <w:rPr>
          <w:rFonts w:ascii="Arial" w:eastAsia="Arial" w:hAnsi="Arial" w:cs="Arial"/>
          <w:sz w:val="20"/>
          <w:szCs w:val="20"/>
        </w:rPr>
        <w:t>The President of the</w:t>
      </w:r>
      <w:r>
        <w:rPr>
          <w:rFonts w:ascii="Arial" w:eastAsia="Arial" w:hAnsi="Arial" w:cs="Arial"/>
          <w:sz w:val="20"/>
          <w:szCs w:val="20"/>
        </w:rPr>
        <w:t xml:space="preserve"> King’s Bench Division</w:t>
      </w:r>
    </w:p>
    <w:p w14:paraId="7FE9B165" w14:textId="77777777" w:rsidR="00A03D3A" w:rsidRDefault="002D08DA">
      <w:pPr>
        <w:spacing w:before="60" w:after="60"/>
      </w:pPr>
      <w:r>
        <w:rPr>
          <w:rFonts w:ascii="Arial" w:eastAsia="Arial" w:hAnsi="Arial" w:cs="Arial"/>
          <w:b/>
          <w:bCs/>
          <w:sz w:val="20"/>
          <w:szCs w:val="20"/>
        </w:rPr>
        <w:t xml:space="preserve"> </w:t>
      </w:r>
      <w:r>
        <w:rPr>
          <w:rFonts w:ascii="Arial" w:eastAsia="Arial" w:hAnsi="Arial" w:cs="Arial"/>
          <w:sz w:val="20"/>
          <w:szCs w:val="20"/>
        </w:rPr>
        <w:t>The Rolls Building, 7 Rolls Buildings, Fetter Lane, London EC4A 1NL</w:t>
      </w:r>
    </w:p>
    <w:p w14:paraId="43476DCC" w14:textId="77777777" w:rsidR="00A03D3A" w:rsidRDefault="002D08DA">
      <w:pPr>
        <w:spacing w:before="60" w:after="60"/>
      </w:pPr>
      <w:r>
        <w:rPr>
          <w:rFonts w:ascii="Arial" w:eastAsia="Arial" w:hAnsi="Arial" w:cs="Arial"/>
          <w:b/>
          <w:bCs/>
          <w:sz w:val="20"/>
          <w:szCs w:val="20"/>
        </w:rPr>
        <w:t xml:space="preserve">3. </w:t>
      </w:r>
      <w:r>
        <w:rPr>
          <w:rFonts w:ascii="Arial" w:eastAsia="Arial" w:hAnsi="Arial" w:cs="Arial"/>
          <w:sz w:val="20"/>
          <w:szCs w:val="20"/>
        </w:rPr>
        <w:t>Chief Executive, HM Courts &amp; Tribunals Service (HMCTS)</w:t>
      </w:r>
    </w:p>
    <w:p w14:paraId="264BF990" w14:textId="77777777" w:rsidR="00A03D3A" w:rsidRDefault="002D08DA">
      <w:pPr>
        <w:spacing w:before="60" w:after="60"/>
      </w:pPr>
      <w:r>
        <w:rPr>
          <w:rFonts w:ascii="Arial" w:eastAsia="Arial" w:hAnsi="Arial" w:cs="Arial"/>
          <w:b/>
          <w:bCs/>
          <w:sz w:val="20"/>
          <w:szCs w:val="20"/>
        </w:rPr>
        <w:t xml:space="preserve"> </w:t>
      </w:r>
      <w:r>
        <w:rPr>
          <w:rFonts w:ascii="Arial" w:eastAsia="Arial" w:hAnsi="Arial" w:cs="Arial"/>
          <w:sz w:val="20"/>
          <w:szCs w:val="20"/>
        </w:rPr>
        <w:t>102 Petty France, London SW1H 9AJ</w:t>
      </w:r>
    </w:p>
    <w:p w14:paraId="4BB1C39B" w14:textId="77777777" w:rsidR="00A03D3A" w:rsidRDefault="002D08DA">
      <w:pPr>
        <w:spacing w:before="60" w:after="60"/>
      </w:pPr>
      <w:r>
        <w:rPr>
          <w:rFonts w:ascii="Arial" w:eastAsia="Arial" w:hAnsi="Arial" w:cs="Arial"/>
          <w:b/>
          <w:bCs/>
          <w:sz w:val="20"/>
          <w:szCs w:val="20"/>
        </w:rPr>
        <w:t xml:space="preserve">4. </w:t>
      </w:r>
      <w:r>
        <w:rPr>
          <w:rFonts w:ascii="Arial" w:eastAsia="Arial" w:hAnsi="Arial" w:cs="Arial"/>
          <w:sz w:val="20"/>
          <w:szCs w:val="20"/>
        </w:rPr>
        <w:t>Director, Judicial Conduct Investigations Office (JCIO)</w:t>
      </w:r>
    </w:p>
    <w:p w14:paraId="7DA9F748" w14:textId="77777777" w:rsidR="00A03D3A" w:rsidRDefault="002D08DA">
      <w:pPr>
        <w:spacing w:before="60" w:after="60"/>
      </w:pPr>
      <w:r>
        <w:rPr>
          <w:rFonts w:ascii="Arial" w:eastAsia="Arial" w:hAnsi="Arial" w:cs="Arial"/>
          <w:b/>
          <w:bCs/>
          <w:sz w:val="20"/>
          <w:szCs w:val="20"/>
        </w:rPr>
        <w:t xml:space="preserve"> </w:t>
      </w:r>
      <w:r>
        <w:rPr>
          <w:rFonts w:ascii="Arial" w:eastAsia="Arial" w:hAnsi="Arial" w:cs="Arial"/>
          <w:sz w:val="20"/>
          <w:szCs w:val="20"/>
        </w:rPr>
        <w:t>81–82 Queen</w:t>
      </w:r>
      <w:r>
        <w:rPr>
          <w:rFonts w:ascii="Arial" w:eastAsia="Arial" w:hAnsi="Arial" w:cs="Arial"/>
          <w:sz w:val="20"/>
          <w:szCs w:val="20"/>
        </w:rPr>
        <w:t>’s Building, Royal Courts of Justice, Strand, London WC2A 2LL</w:t>
      </w:r>
    </w:p>
    <w:p w14:paraId="7C808D86" w14:textId="77777777" w:rsidR="00A03D3A" w:rsidRDefault="00A03D3A"/>
    <w:p w14:paraId="6AC23DFF" w14:textId="77777777" w:rsidR="00A03D3A" w:rsidRDefault="002D08DA">
      <w:pPr>
        <w:spacing w:before="60" w:after="60"/>
      </w:pPr>
      <w:r>
        <w:rPr>
          <w:rFonts w:ascii="Arial" w:eastAsia="Arial" w:hAnsi="Arial" w:cs="Arial"/>
          <w:b/>
          <w:bCs/>
          <w:sz w:val="20"/>
          <w:szCs w:val="20"/>
        </w:rPr>
        <w:t xml:space="preserve">SUBJECT: </w:t>
      </w:r>
      <w:r>
        <w:rPr>
          <w:rFonts w:ascii="Arial" w:eastAsia="Arial" w:hAnsi="Arial" w:cs="Arial"/>
          <w:sz w:val="20"/>
          <w:szCs w:val="20"/>
        </w:rPr>
        <w:t>Formal Notice of Institutional Liability — Denial of Access to Justice,</w:t>
      </w:r>
    </w:p>
    <w:p w14:paraId="38D14444" w14:textId="77777777" w:rsidR="00A03D3A" w:rsidRDefault="002D08DA">
      <w:pPr>
        <w:spacing w:before="60" w:after="60"/>
      </w:pPr>
      <w:r>
        <w:rPr>
          <w:rFonts w:ascii="Arial" w:eastAsia="Arial" w:hAnsi="Arial" w:cs="Arial"/>
          <w:b/>
          <w:bCs/>
          <w:sz w:val="20"/>
          <w:szCs w:val="20"/>
        </w:rPr>
        <w:t xml:space="preserve"> </w:t>
      </w:r>
      <w:r>
        <w:rPr>
          <w:rFonts w:ascii="Arial" w:eastAsia="Arial" w:hAnsi="Arial" w:cs="Arial"/>
          <w:sz w:val="20"/>
          <w:szCs w:val="20"/>
        </w:rPr>
        <w:t>Documented Obstruction, and Quantified Monthly Delay Damages</w:t>
      </w:r>
    </w:p>
    <w:p w14:paraId="4F34BC5E" w14:textId="77777777" w:rsidR="00A03D3A" w:rsidRDefault="002D08DA">
      <w:pPr>
        <w:spacing w:before="60" w:after="60"/>
      </w:pPr>
      <w:r>
        <w:rPr>
          <w:rFonts w:ascii="Arial" w:eastAsia="Arial" w:hAnsi="Arial" w:cs="Arial"/>
          <w:b/>
          <w:bCs/>
          <w:sz w:val="20"/>
          <w:szCs w:val="20"/>
        </w:rPr>
        <w:t xml:space="preserve"> </w:t>
      </w:r>
      <w:r>
        <w:rPr>
          <w:rFonts w:ascii="Arial" w:eastAsia="Arial" w:hAnsi="Arial" w:cs="Arial"/>
          <w:sz w:val="20"/>
          <w:szCs w:val="20"/>
        </w:rPr>
        <w:t>JCIO References: 50320/26 — 50341/26 | HMCTS Ref:</w:t>
      </w:r>
      <w:r>
        <w:rPr>
          <w:rFonts w:ascii="Arial" w:eastAsia="Arial" w:hAnsi="Arial" w:cs="Arial"/>
          <w:sz w:val="20"/>
          <w:szCs w:val="20"/>
        </w:rPr>
        <w:t xml:space="preserve"> 80122237</w:t>
      </w:r>
    </w:p>
    <w:p w14:paraId="352B4FEB" w14:textId="77777777" w:rsidR="00A03D3A" w:rsidRDefault="00A03D3A"/>
    <w:p w14:paraId="59A5C82E" w14:textId="77777777" w:rsidR="00A03D3A" w:rsidRDefault="002D08DA">
      <w:pPr>
        <w:pBdr>
          <w:left w:val="thick" w:sz="12" w:space="8" w:color="C0392B"/>
        </w:pBdr>
        <w:spacing w:before="80" w:after="80"/>
        <w:ind w:left="360"/>
        <w:jc w:val="both"/>
      </w:pPr>
      <w:r>
        <w:rPr>
          <w:rFonts w:ascii="Arial" w:eastAsia="Arial" w:hAnsi="Arial" w:cs="Arial"/>
          <w:b/>
          <w:bCs/>
          <w:color w:val="C0392B"/>
          <w:sz w:val="18"/>
          <w:szCs w:val="18"/>
        </w:rPr>
        <w:t>THIS NOTICE IS A FORMAL LEGAL INSTRUMENT. NON-RESPONSE WITHIN 15 CALENDAR DAYS OF TRANSMISSION SHALL BE TREATED AS TACIT ACKNOWLEDGMENT OF THE FACTS STATED HEREIN AND WILL BE RELIED UPON IN ALL ONGOING AND FUTURE PROCEEDINGS.</w:t>
      </w:r>
    </w:p>
    <w:p w14:paraId="47FD766F" w14:textId="77777777" w:rsidR="00A03D3A" w:rsidRDefault="00A03D3A"/>
    <w:p w14:paraId="61B5657A" w14:textId="77777777" w:rsidR="00A03D3A" w:rsidRDefault="00A03D3A">
      <w:pPr>
        <w:pBdr>
          <w:bottom w:val="single" w:sz="4" w:space="4" w:color="1A1A2E"/>
        </w:pBdr>
        <w:spacing w:before="160" w:after="160"/>
      </w:pPr>
    </w:p>
    <w:p w14:paraId="0702DB68" w14:textId="77777777" w:rsidR="00A03D3A" w:rsidRDefault="002D08DA">
      <w:pPr>
        <w:pStyle w:val="Heading1"/>
      </w:pPr>
      <w:r>
        <w:t>I. NATURE AND PURPOSE OF THI</w:t>
      </w:r>
      <w:r>
        <w:t>S NOTICE</w:t>
      </w:r>
    </w:p>
    <w:p w14:paraId="13A7CF58" w14:textId="77777777" w:rsidR="00A03D3A" w:rsidRDefault="00A03D3A"/>
    <w:p w14:paraId="27CA1D0A" w14:textId="77777777" w:rsidR="00A03D3A" w:rsidRDefault="002D08DA">
      <w:pPr>
        <w:spacing w:before="80" w:after="80" w:line="276" w:lineRule="auto"/>
        <w:jc w:val="both"/>
      </w:pPr>
      <w:r>
        <w:t>This notice is transmitted simultaneously to the four institutional recipients identified above. It constitutes a formal legal instrument, required under English procedural law as a condition precedent to legal proceedings, and is equally submitt</w:t>
      </w:r>
      <w:r>
        <w:t>ed as additional evidence of obstruction before the European Court of Human Rights and United States federal authorities.</w:t>
      </w:r>
    </w:p>
    <w:p w14:paraId="0FC8D9B5" w14:textId="77777777" w:rsidR="00A03D3A" w:rsidRDefault="00A03D3A"/>
    <w:p w14:paraId="2754BCC3" w14:textId="77777777" w:rsidR="00A03D3A" w:rsidRDefault="002D08DA">
      <w:pPr>
        <w:spacing w:before="80" w:after="80" w:line="276" w:lineRule="auto"/>
        <w:jc w:val="both"/>
      </w:pPr>
      <w:r>
        <w:t>It is not a complaint in the administrative sense. It is a notice of institutional liability, grounded in documented facts, supported by legal authority, and accompanied by a quantified assessment of the financial consequences of each institution’s inactio</w:t>
      </w:r>
      <w:r>
        <w:t>n.</w:t>
      </w:r>
    </w:p>
    <w:p w14:paraId="78DA4DAB" w14:textId="77777777" w:rsidR="00A03D3A" w:rsidRDefault="00A03D3A"/>
    <w:p w14:paraId="69E2883D" w14:textId="77777777" w:rsidR="00A03D3A" w:rsidRDefault="002D08DA">
      <w:pPr>
        <w:spacing w:before="80" w:after="80" w:line="276" w:lineRule="auto"/>
        <w:jc w:val="both"/>
      </w:pPr>
      <w:r>
        <w:t xml:space="preserve">The Applicant, Pierre </w:t>
      </w:r>
      <w:proofErr w:type="spellStart"/>
      <w:r>
        <w:t>Deglaire</w:t>
      </w:r>
      <w:proofErr w:type="spellEnd"/>
      <w:r>
        <w:t xml:space="preserve">, has for over five months sought, through every available channel, to access emergency judicial protection before the King’s Bench Division of the High </w:t>
      </w:r>
      <w:r>
        <w:lastRenderedPageBreak/>
        <w:t>Court of Justice. Every such attempt has been met with administrative</w:t>
      </w:r>
      <w:r>
        <w:t xml:space="preserve"> silence, procedural deflection, or active refusal — each fully documented.</w:t>
      </w:r>
    </w:p>
    <w:p w14:paraId="32917463" w14:textId="77777777" w:rsidR="00A03D3A" w:rsidRDefault="00A03D3A"/>
    <w:p w14:paraId="112AC6D8" w14:textId="77777777" w:rsidR="00A03D3A" w:rsidRDefault="002D08DA">
      <w:pPr>
        <w:spacing w:before="80" w:after="80" w:line="276" w:lineRule="auto"/>
        <w:jc w:val="both"/>
      </w:pPr>
      <w:r>
        <w:t xml:space="preserve">The situation is not one of delay. It is one of systemic denial of access to justice, constituting a continuing breach of fundamental rights, a breach of constitutional duty, and </w:t>
      </w:r>
      <w:r>
        <w:t>generating quantifiable financial prejudice at a rate calculable under applicable legal instruments.</w:t>
      </w:r>
    </w:p>
    <w:p w14:paraId="311B0DE2" w14:textId="77777777" w:rsidR="00A03D3A" w:rsidRDefault="00A03D3A"/>
    <w:p w14:paraId="75F06087" w14:textId="77777777" w:rsidR="00A03D3A" w:rsidRDefault="00A03D3A">
      <w:pPr>
        <w:pBdr>
          <w:bottom w:val="single" w:sz="4" w:space="4" w:color="1A1A2E"/>
        </w:pBdr>
        <w:spacing w:before="160" w:after="160"/>
      </w:pPr>
    </w:p>
    <w:p w14:paraId="21B41B8C" w14:textId="77777777" w:rsidR="00A03D3A" w:rsidRDefault="002D08DA">
      <w:pPr>
        <w:pStyle w:val="Heading1"/>
      </w:pPr>
      <w:r>
        <w:t>II. FACTUAL RECORD BY INSTITUTION</w:t>
      </w:r>
    </w:p>
    <w:p w14:paraId="1591911E" w14:textId="77777777" w:rsidR="00A03D3A" w:rsidRDefault="00A03D3A"/>
    <w:p w14:paraId="0C78FBC7" w14:textId="77777777" w:rsidR="00A03D3A" w:rsidRDefault="002D08DA">
      <w:pPr>
        <w:pStyle w:val="Heading2"/>
      </w:pPr>
      <w:r>
        <w:t>A. King’s Bench Division — Rolls Building Registry</w:t>
      </w:r>
    </w:p>
    <w:p w14:paraId="185FA689" w14:textId="77777777" w:rsidR="00A03D3A" w:rsidRDefault="00A03D3A"/>
    <w:p w14:paraId="288493D0" w14:textId="77777777" w:rsidR="00A03D3A" w:rsidRDefault="002D08DA">
      <w:pPr>
        <w:spacing w:before="200" w:after="100"/>
      </w:pPr>
      <w:r>
        <w:rPr>
          <w:rFonts w:ascii="Arial" w:eastAsia="Arial" w:hAnsi="Arial" w:cs="Arial"/>
          <w:b/>
          <w:bCs/>
          <w:color w:val="0F3460"/>
        </w:rPr>
        <w:t>First Attendance — Approx. 18 November 2025</w:t>
      </w:r>
    </w:p>
    <w:p w14:paraId="01275554" w14:textId="77777777" w:rsidR="00A03D3A" w:rsidRDefault="00A03D3A"/>
    <w:p w14:paraId="5D0124EC" w14:textId="77777777" w:rsidR="00A03D3A" w:rsidRDefault="002D08DA">
      <w:pPr>
        <w:spacing w:before="80" w:after="80" w:line="276" w:lineRule="auto"/>
        <w:jc w:val="both"/>
      </w:pPr>
      <w:r>
        <w:t>The Applicant attende</w:t>
      </w:r>
      <w:r>
        <w:t>d the Registry of the High Court of Justice in person, presenting a substantive dossier of approximately 320 pages, including supporting exhibits, in an emergency context involving ongoing threats to physical safety and financial destruction.</w:t>
      </w:r>
    </w:p>
    <w:p w14:paraId="0FF24E6D" w14:textId="77777777" w:rsidR="00A03D3A" w:rsidRDefault="00A03D3A"/>
    <w:p w14:paraId="5DB75E9F" w14:textId="77777777" w:rsidR="00A03D3A" w:rsidRDefault="002D08DA">
      <w:pPr>
        <w:spacing w:before="80" w:after="80" w:line="276" w:lineRule="auto"/>
        <w:jc w:val="both"/>
      </w:pPr>
      <w:r>
        <w:t>The Registry:</w:t>
      </w:r>
    </w:p>
    <w:p w14:paraId="5EB5EE59" w14:textId="77777777" w:rsidR="00A03D3A" w:rsidRDefault="002D08DA">
      <w:pPr>
        <w:spacing w:before="60" w:after="60" w:line="276" w:lineRule="auto"/>
        <w:ind w:left="720" w:hanging="360"/>
      </w:pPr>
      <w:r>
        <w:t xml:space="preserve">—  </w:t>
      </w:r>
      <w:r>
        <w:t>Refused to accept or archive the dossier;</w:t>
      </w:r>
    </w:p>
    <w:p w14:paraId="0485BE74" w14:textId="77777777" w:rsidR="00A03D3A" w:rsidRDefault="002D08DA">
      <w:pPr>
        <w:spacing w:before="60" w:after="60" w:line="276" w:lineRule="auto"/>
        <w:ind w:left="720" w:hanging="360"/>
      </w:pPr>
      <w:r>
        <w:t xml:space="preserve">—  </w:t>
      </w:r>
      <w:r>
        <w:t>Required payment of approximately GBP 10,000 in court fees, without directing the Applicant to the fee remission procedure (Form EX160), to which he was entitled under the applicable means thres</w:t>
      </w:r>
      <w:r>
        <w:t>hold;</w:t>
      </w:r>
    </w:p>
    <w:p w14:paraId="19E80DC2" w14:textId="77777777" w:rsidR="00A03D3A" w:rsidRDefault="002D08DA">
      <w:pPr>
        <w:spacing w:before="60" w:after="60" w:line="276" w:lineRule="auto"/>
        <w:ind w:left="720" w:hanging="360"/>
      </w:pPr>
      <w:r>
        <w:t xml:space="preserve">—  </w:t>
      </w:r>
      <w:r>
        <w:t>Returned to the Applicant approximately two units of registered correspondence that had previously reached the Court, unarchived and unregistered;</w:t>
      </w:r>
    </w:p>
    <w:p w14:paraId="766485FE" w14:textId="77777777" w:rsidR="00A03D3A" w:rsidRDefault="002D08DA">
      <w:pPr>
        <w:spacing w:before="60" w:after="60" w:line="276" w:lineRule="auto"/>
        <w:ind w:left="720" w:hanging="360"/>
      </w:pPr>
      <w:r>
        <w:t xml:space="preserve">—  </w:t>
      </w:r>
      <w:r>
        <w:t>Failed to direct the Applicant to any emergency or urgent procedural channel.</w:t>
      </w:r>
    </w:p>
    <w:p w14:paraId="09755C29" w14:textId="77777777" w:rsidR="00A03D3A" w:rsidRDefault="00A03D3A"/>
    <w:p w14:paraId="765D402C" w14:textId="77777777" w:rsidR="00A03D3A" w:rsidRDefault="002D08DA">
      <w:pPr>
        <w:spacing w:before="80" w:after="80" w:line="276" w:lineRule="auto"/>
        <w:jc w:val="both"/>
      </w:pPr>
      <w:r>
        <w:t>The registry offic</w:t>
      </w:r>
      <w:r>
        <w:t>er conducting this interaction was French-speaking and of French nationality, in a matter directly opposing the French State and French banking institutions — a circumstance constituting an undisclosed conflict of interest, the assessment of which was expr</w:t>
      </w:r>
      <w:r>
        <w:t>essly requested in subsequent submissions and has received no response.</w:t>
      </w:r>
    </w:p>
    <w:p w14:paraId="7273C96C" w14:textId="77777777" w:rsidR="00A03D3A" w:rsidRDefault="00A03D3A"/>
    <w:p w14:paraId="5F0334BC" w14:textId="77777777" w:rsidR="00A03D3A" w:rsidRDefault="002D08DA">
      <w:pPr>
        <w:spacing w:before="200" w:after="100"/>
      </w:pPr>
      <w:r>
        <w:rPr>
          <w:rFonts w:ascii="Arial" w:eastAsia="Arial" w:hAnsi="Arial" w:cs="Arial"/>
          <w:b/>
          <w:bCs/>
          <w:color w:val="0F3460"/>
        </w:rPr>
        <w:t>Second Attendance — 26 November 2025 (“Alleged Emergency Hearing”)</w:t>
      </w:r>
    </w:p>
    <w:p w14:paraId="190AFDEB" w14:textId="77777777" w:rsidR="00A03D3A" w:rsidRDefault="00A03D3A"/>
    <w:p w14:paraId="55BBF03E" w14:textId="77777777" w:rsidR="00A03D3A" w:rsidRDefault="002D08DA">
      <w:pPr>
        <w:spacing w:before="80" w:after="80" w:line="276" w:lineRule="auto"/>
        <w:jc w:val="both"/>
      </w:pPr>
      <w:r>
        <w:t>The Applicant returned to the Rolls Building, arriving between approximately 16:30 and 17:00, verified through CCTV</w:t>
      </w:r>
      <w:r>
        <w:t xml:space="preserve"> footage and security access logs. He was directed to a numbered courtroom, where the following occurred:</w:t>
      </w:r>
    </w:p>
    <w:p w14:paraId="25FC6C7E" w14:textId="77777777" w:rsidR="00A03D3A" w:rsidRDefault="00A03D3A"/>
    <w:p w14:paraId="5FDADBD0" w14:textId="77777777" w:rsidR="00A03D3A" w:rsidRDefault="002D08DA">
      <w:pPr>
        <w:spacing w:before="60" w:after="60" w:line="276" w:lineRule="auto"/>
        <w:ind w:left="720" w:hanging="360"/>
      </w:pPr>
      <w:r>
        <w:t xml:space="preserve">—  </w:t>
      </w:r>
      <w:r>
        <w:t>No identity verification took place;</w:t>
      </w:r>
    </w:p>
    <w:p w14:paraId="6A2FA3AF" w14:textId="77777777" w:rsidR="00A03D3A" w:rsidRDefault="002D08DA">
      <w:pPr>
        <w:spacing w:before="60" w:after="60" w:line="276" w:lineRule="auto"/>
        <w:ind w:left="720" w:hanging="360"/>
      </w:pPr>
      <w:r>
        <w:t xml:space="preserve">—  </w:t>
      </w:r>
      <w:r>
        <w:t>No document was stamped, logged, signed, or registered;</w:t>
      </w:r>
    </w:p>
    <w:p w14:paraId="40A76AB5" w14:textId="77777777" w:rsidR="00A03D3A" w:rsidRDefault="002D08DA">
      <w:pPr>
        <w:spacing w:before="60" w:after="60" w:line="276" w:lineRule="auto"/>
        <w:ind w:left="720" w:hanging="360"/>
      </w:pPr>
      <w:r>
        <w:lastRenderedPageBreak/>
        <w:t xml:space="preserve">—  </w:t>
      </w:r>
      <w:r>
        <w:t>No case number was assigned;</w:t>
      </w:r>
    </w:p>
    <w:p w14:paraId="71B57E70" w14:textId="77777777" w:rsidR="00A03D3A" w:rsidRDefault="002D08DA">
      <w:pPr>
        <w:spacing w:before="60" w:after="60" w:line="276" w:lineRule="auto"/>
        <w:ind w:left="720" w:hanging="360"/>
      </w:pPr>
      <w:r>
        <w:t xml:space="preserve">—  </w:t>
      </w:r>
      <w:r>
        <w:t>No emergency cr</w:t>
      </w:r>
      <w:r>
        <w:t>iteria were examined;</w:t>
      </w:r>
    </w:p>
    <w:p w14:paraId="5AC082FA" w14:textId="77777777" w:rsidR="00A03D3A" w:rsidRDefault="002D08DA">
      <w:pPr>
        <w:spacing w:before="60" w:after="60" w:line="276" w:lineRule="auto"/>
        <w:ind w:left="720" w:hanging="360"/>
      </w:pPr>
      <w:r>
        <w:t xml:space="preserve">—  </w:t>
      </w:r>
      <w:r>
        <w:t>The Applicant’s explicit request to leave his documents with the Court was refused multiple times;</w:t>
      </w:r>
    </w:p>
    <w:p w14:paraId="266D8711" w14:textId="77777777" w:rsidR="00A03D3A" w:rsidRDefault="002D08DA">
      <w:pPr>
        <w:spacing w:before="60" w:after="60" w:line="276" w:lineRule="auto"/>
        <w:ind w:left="720" w:hanging="360"/>
      </w:pPr>
      <w:r>
        <w:t xml:space="preserve">—  </w:t>
      </w:r>
      <w:r>
        <w:t>All documents were returned to the Applicant;</w:t>
      </w:r>
    </w:p>
    <w:p w14:paraId="52E34D46" w14:textId="77777777" w:rsidR="00A03D3A" w:rsidRDefault="002D08DA">
      <w:pPr>
        <w:spacing w:before="60" w:after="60" w:line="276" w:lineRule="auto"/>
        <w:ind w:left="720" w:hanging="360"/>
      </w:pPr>
      <w:r>
        <w:t xml:space="preserve">—  </w:t>
      </w:r>
      <w:r>
        <w:t>He was instructed to leave as the Court was closing.</w:t>
      </w:r>
    </w:p>
    <w:p w14:paraId="751855CF" w14:textId="77777777" w:rsidR="00A03D3A" w:rsidRDefault="00A03D3A"/>
    <w:p w14:paraId="41A0EF2B" w14:textId="77777777" w:rsidR="00A03D3A" w:rsidRDefault="002D08DA">
      <w:pPr>
        <w:spacing w:before="80" w:after="80" w:line="276" w:lineRule="auto"/>
        <w:jc w:val="both"/>
      </w:pPr>
      <w:r>
        <w:t>No procedural trace of any</w:t>
      </w:r>
      <w:r>
        <w:t xml:space="preserve"> kind exists for this interaction. No written decision, no minute, no filing receipt, no case number, no judicial record. An interaction presented to the Applicant as an emergency judicial hearing produced zero legal effect in domestic law.</w:t>
      </w:r>
    </w:p>
    <w:p w14:paraId="56041FF5" w14:textId="77777777" w:rsidR="00A03D3A" w:rsidRDefault="00A03D3A"/>
    <w:p w14:paraId="774AE3F3" w14:textId="77777777" w:rsidR="00A03D3A" w:rsidRDefault="002D08DA">
      <w:pPr>
        <w:spacing w:before="80" w:after="80" w:line="276" w:lineRule="auto"/>
        <w:jc w:val="both"/>
      </w:pPr>
      <w:r>
        <w:t xml:space="preserve">The Applicant </w:t>
      </w:r>
      <w:r>
        <w:t>has formally requested verification of CCTV footage, security access logs, and registry records for that date. No response has been received.</w:t>
      </w:r>
    </w:p>
    <w:p w14:paraId="0F17DB57" w14:textId="77777777" w:rsidR="00A03D3A" w:rsidRDefault="00A03D3A"/>
    <w:p w14:paraId="2146480A" w14:textId="77777777" w:rsidR="00A03D3A" w:rsidRDefault="002D08DA">
      <w:pPr>
        <w:spacing w:before="80" w:after="80" w:line="276" w:lineRule="auto"/>
        <w:jc w:val="both"/>
      </w:pPr>
      <w:r>
        <w:t>In direct and instructive contrast, the identical 320-page dossier was accepted by the United States District Cou</w:t>
      </w:r>
      <w:r>
        <w:t>rt for the Southern District of New York (SDNY) at the counter, stamped, assigned a reference number, treated as urgent, and transmitted to the District Court for the District of Columbia. This comparative element is recorded for the purposes of institutio</w:t>
      </w:r>
      <w:r>
        <w:t>nal accountability.</w:t>
      </w:r>
    </w:p>
    <w:p w14:paraId="20465A49" w14:textId="77777777" w:rsidR="00A03D3A" w:rsidRDefault="00A03D3A"/>
    <w:p w14:paraId="46027444" w14:textId="77777777" w:rsidR="00A03D3A" w:rsidRDefault="002D08DA">
      <w:pPr>
        <w:pStyle w:val="Heading2"/>
      </w:pPr>
      <w:r>
        <w:t>B. HM Courts &amp; Tribunals Service (HMCTS)</w:t>
      </w:r>
    </w:p>
    <w:p w14:paraId="6733350F" w14:textId="77777777" w:rsidR="00A03D3A" w:rsidRDefault="00A03D3A"/>
    <w:p w14:paraId="328770EB" w14:textId="77777777" w:rsidR="00A03D3A" w:rsidRDefault="002D08DA">
      <w:pPr>
        <w:spacing w:before="80" w:after="80" w:line="276" w:lineRule="auto"/>
        <w:jc w:val="both"/>
      </w:pPr>
      <w:r>
        <w:t>Since October 2025, the Applicant has transmitted multiple formal communications to HMCTS by email, each with delivery confirmation. The following is the documented record:</w:t>
      </w:r>
    </w:p>
    <w:p w14:paraId="1103B380" w14:textId="77777777" w:rsidR="00A03D3A" w:rsidRDefault="00A03D3A"/>
    <w:p w14:paraId="5609FDF4" w14:textId="77777777" w:rsidR="00A03D3A" w:rsidRDefault="002D08DA">
      <w:pPr>
        <w:spacing w:before="60" w:after="60" w:line="276" w:lineRule="auto"/>
        <w:ind w:left="720" w:hanging="360"/>
      </w:pPr>
      <w:r>
        <w:t xml:space="preserve">—  </w:t>
      </w:r>
      <w:r>
        <w:t>October – November 2025: multiple prior submissions, zero substantive response;</w:t>
      </w:r>
    </w:p>
    <w:p w14:paraId="58606C48" w14:textId="77777777" w:rsidR="00A03D3A" w:rsidRDefault="002D08DA">
      <w:pPr>
        <w:spacing w:before="60" w:after="60" w:line="276" w:lineRule="auto"/>
        <w:ind w:left="720" w:hanging="360"/>
      </w:pPr>
      <w:r>
        <w:t xml:space="preserve">—  </w:t>
      </w:r>
      <w:r>
        <w:t>21 January 2026: formal emergency re-filing submitted; zero case number issued; zero confirmation of formal registration beyond automated acknowledgment;</w:t>
      </w:r>
    </w:p>
    <w:p w14:paraId="0626DC8D" w14:textId="77777777" w:rsidR="00A03D3A" w:rsidRDefault="002D08DA">
      <w:pPr>
        <w:spacing w:before="60" w:after="60" w:line="276" w:lineRule="auto"/>
        <w:ind w:left="720" w:hanging="360"/>
      </w:pPr>
      <w:r>
        <w:t xml:space="preserve">—  </w:t>
      </w:r>
      <w:r>
        <w:t>17 February 2026: formal complaint lodged via the HMCTS complaint portal (Reference 80122237);</w:t>
      </w:r>
    </w:p>
    <w:p w14:paraId="1BE7D143" w14:textId="77777777" w:rsidR="00A03D3A" w:rsidRDefault="002D08DA">
      <w:pPr>
        <w:spacing w:before="60" w:after="60" w:line="276" w:lineRule="auto"/>
        <w:ind w:left="720" w:hanging="360"/>
      </w:pPr>
      <w:r>
        <w:t xml:space="preserve">—  </w:t>
      </w:r>
      <w:r>
        <w:t>17 February 2026: administrative escalation transmitted to the Court Manager and Head of Operations;</w:t>
      </w:r>
    </w:p>
    <w:p w14:paraId="2753A81F" w14:textId="77777777" w:rsidR="00A03D3A" w:rsidRDefault="002D08DA">
      <w:pPr>
        <w:spacing w:before="60" w:after="60" w:line="276" w:lineRule="auto"/>
        <w:ind w:left="720" w:hanging="360"/>
      </w:pPr>
      <w:r>
        <w:t xml:space="preserve">—  </w:t>
      </w:r>
      <w:r>
        <w:t>19 February 2026: HMCTS response received — directing the matter to the JCIO on the grounds that it concerns “judicial conduct”;</w:t>
      </w:r>
    </w:p>
    <w:p w14:paraId="4F656A41" w14:textId="77777777" w:rsidR="00A03D3A" w:rsidRDefault="002D08DA">
      <w:pPr>
        <w:spacing w:before="60" w:after="60" w:line="276" w:lineRule="auto"/>
        <w:ind w:left="720" w:hanging="360"/>
      </w:pPr>
      <w:r>
        <w:t xml:space="preserve">—  </w:t>
      </w:r>
      <w:r>
        <w:t>No substantive re</w:t>
      </w:r>
      <w:r>
        <w:t>solution has been communicated since.</w:t>
      </w:r>
    </w:p>
    <w:p w14:paraId="00AA13E9" w14:textId="77777777" w:rsidR="00A03D3A" w:rsidRDefault="00A03D3A"/>
    <w:p w14:paraId="17CA9263" w14:textId="77777777" w:rsidR="00A03D3A" w:rsidRDefault="002D08DA">
      <w:pPr>
        <w:spacing w:before="80" w:after="80" w:line="276" w:lineRule="auto"/>
        <w:jc w:val="both"/>
      </w:pPr>
      <w:r>
        <w:t xml:space="preserve">The institutional response of HMCTS constitutes a documented instance of inter-agency deflection: HMCTS directs to JCIO; JCIO directs to HMCTS. Neither institution has addressed the administrative substance — namely, </w:t>
      </w:r>
      <w:r>
        <w:t>the failure to register a valid emergency filing and the absence of any procedural trace for the interactions of November 2025.</w:t>
      </w:r>
    </w:p>
    <w:p w14:paraId="515E910B" w14:textId="77777777" w:rsidR="00A03D3A" w:rsidRDefault="00A03D3A"/>
    <w:p w14:paraId="33EF375D" w14:textId="77777777" w:rsidR="00A03D3A" w:rsidRDefault="002D08DA">
      <w:pPr>
        <w:pStyle w:val="Heading2"/>
      </w:pPr>
      <w:r>
        <w:t>C. Judicial Conduct Investigations Office (JCIO)</w:t>
      </w:r>
    </w:p>
    <w:p w14:paraId="7B2BBD34" w14:textId="77777777" w:rsidR="00A03D3A" w:rsidRDefault="00A03D3A"/>
    <w:p w14:paraId="58066C99" w14:textId="77777777" w:rsidR="00A03D3A" w:rsidRDefault="002D08DA">
      <w:pPr>
        <w:spacing w:before="80" w:after="80" w:line="276" w:lineRule="auto"/>
        <w:jc w:val="both"/>
      </w:pPr>
      <w:r>
        <w:t xml:space="preserve">The Applicant submitted a strictly factual Statement of Facts to the JCIO on </w:t>
      </w:r>
      <w:r>
        <w:t>19 January 2026, without allegation, qualification or conclusion, requesting assessment of whether the facts described — including the complete absence of any procedural record following the interaction of 26 November 2025 — fell within the JCIO’s remit.</w:t>
      </w:r>
    </w:p>
    <w:p w14:paraId="09811B67" w14:textId="77777777" w:rsidR="00A03D3A" w:rsidRDefault="00A03D3A"/>
    <w:p w14:paraId="3904EE86" w14:textId="77777777" w:rsidR="00A03D3A" w:rsidRDefault="002D08DA">
      <w:pPr>
        <w:spacing w:before="80" w:after="80" w:line="276" w:lineRule="auto"/>
        <w:jc w:val="both"/>
      </w:pPr>
      <w:r>
        <w:t>The JCIO:</w:t>
      </w:r>
    </w:p>
    <w:p w14:paraId="0D3F55B0" w14:textId="77777777" w:rsidR="00A03D3A" w:rsidRDefault="002D08DA">
      <w:pPr>
        <w:spacing w:before="60" w:after="60" w:line="276" w:lineRule="auto"/>
        <w:ind w:left="720" w:hanging="360"/>
      </w:pPr>
      <w:r>
        <w:t xml:space="preserve">—  </w:t>
      </w:r>
      <w:r>
        <w:t>Registered the complaint as Case 50341/26 (28 January 2026);</w:t>
      </w:r>
    </w:p>
    <w:p w14:paraId="51C6ED98" w14:textId="77777777" w:rsidR="00A03D3A" w:rsidRDefault="002D08DA">
      <w:pPr>
        <w:spacing w:before="60" w:after="60" w:line="276" w:lineRule="auto"/>
        <w:ind w:left="720" w:hanging="360"/>
      </w:pPr>
      <w:r>
        <w:t xml:space="preserve">—  </w:t>
      </w:r>
      <w:r>
        <w:t>Assigned caseworker Umme Sumaiyah (5 February 2026);</w:t>
      </w:r>
    </w:p>
    <w:p w14:paraId="5795C3F2" w14:textId="77777777" w:rsidR="00A03D3A" w:rsidRDefault="002D08DA">
      <w:pPr>
        <w:spacing w:before="60" w:after="60" w:line="276" w:lineRule="auto"/>
        <w:ind w:left="720" w:hanging="360"/>
      </w:pPr>
      <w:r>
        <w:t xml:space="preserve">—  </w:t>
      </w:r>
      <w:r>
        <w:t>Separately registered a second related complaint as Reference 50320/26;</w:t>
      </w:r>
    </w:p>
    <w:p w14:paraId="278B120D" w14:textId="77777777" w:rsidR="00A03D3A" w:rsidRDefault="002D08DA">
      <w:pPr>
        <w:spacing w:before="60" w:after="60" w:line="276" w:lineRule="auto"/>
        <w:ind w:left="720" w:hanging="360"/>
      </w:pPr>
      <w:r>
        <w:t xml:space="preserve">—  </w:t>
      </w:r>
      <w:r>
        <w:t>Issued a jurisdictional refusal on 13 February 2</w:t>
      </w:r>
      <w:r>
        <w:t>026 (</w:t>
      </w:r>
      <w:proofErr w:type="spellStart"/>
      <w:r>
        <w:t>Ms</w:t>
      </w:r>
      <w:proofErr w:type="spellEnd"/>
      <w:r>
        <w:t xml:space="preserve"> Haroon), on the basis that the complaint concerned judicial decision-making rather than judicial conduct.</w:t>
      </w:r>
    </w:p>
    <w:p w14:paraId="1D404F39" w14:textId="77777777" w:rsidR="00A03D3A" w:rsidRDefault="00A03D3A"/>
    <w:p w14:paraId="472BF0A8" w14:textId="77777777" w:rsidR="00A03D3A" w:rsidRDefault="002D08DA">
      <w:pPr>
        <w:spacing w:before="80" w:after="80" w:line="276" w:lineRule="auto"/>
        <w:jc w:val="both"/>
      </w:pPr>
      <w:r>
        <w:t>The Applicant formally contested this jurisdictional assessment on 17 February 2026, identifying three specific conduct elements — possible u</w:t>
      </w:r>
      <w:r>
        <w:t>ndeclared conflicts of interest, procedural irregularities incompatible with judicial impartiality, and conduct potentially falling within disciplinary oversight — and requesting confirmation of whether a preliminary conduct screening had occurred for each</w:t>
      </w:r>
      <w:r>
        <w:t>. No substantive response has been received.</w:t>
      </w:r>
    </w:p>
    <w:p w14:paraId="7BBC4AA6" w14:textId="77777777" w:rsidR="00A03D3A" w:rsidRDefault="00A03D3A"/>
    <w:p w14:paraId="0188B88C" w14:textId="77777777" w:rsidR="00A03D3A" w:rsidRDefault="002D08DA">
      <w:pPr>
        <w:spacing w:before="80" w:after="80" w:line="276" w:lineRule="auto"/>
        <w:jc w:val="both"/>
      </w:pPr>
      <w:r>
        <w:t xml:space="preserve">The jurisdictional refusal is legally contestable. The Lord Chief Justice’s Guide to Judicial Conduct (2022, §3.1) and the House of Lords in </w:t>
      </w:r>
      <w:proofErr w:type="spellStart"/>
      <w:r>
        <w:t>Locabail</w:t>
      </w:r>
      <w:proofErr w:type="spellEnd"/>
      <w:r>
        <w:t xml:space="preserve"> (UK) Ltd v Bayfield Properties [2000] QB 451 both establish that conduct elements — including undisclosed </w:t>
      </w:r>
      <w:r>
        <w:t>conflicts of interest — fall within conduct oversight, not judicial decision-making. The JCIO’s determination that no conduct review was warranted, without substantive engagement with the conflict-of-interest allegation, itself constitutes a reviewable adm</w:t>
      </w:r>
      <w:r>
        <w:t>inistrative decision.</w:t>
      </w:r>
    </w:p>
    <w:p w14:paraId="751C783F" w14:textId="77777777" w:rsidR="00A03D3A" w:rsidRDefault="00A03D3A"/>
    <w:p w14:paraId="603DFB3A" w14:textId="77777777" w:rsidR="00A03D3A" w:rsidRDefault="002D08DA">
      <w:pPr>
        <w:pStyle w:val="Heading2"/>
      </w:pPr>
      <w:r>
        <w:t>D. Lord Chancellor / Ministry of Justice</w:t>
      </w:r>
    </w:p>
    <w:p w14:paraId="44DBCC7E" w14:textId="77777777" w:rsidR="00A03D3A" w:rsidRDefault="00A03D3A"/>
    <w:p w14:paraId="3F40D13E" w14:textId="77777777" w:rsidR="00A03D3A" w:rsidRDefault="002D08DA">
      <w:pPr>
        <w:spacing w:before="80" w:after="80" w:line="276" w:lineRule="auto"/>
        <w:jc w:val="both"/>
      </w:pPr>
      <w:r>
        <w:t>The Lord Chancellor bears constitutional and statutory responsibility for the maintenance of effective access to justice in England and Wales (Constitutional Reform Act 2005, s.1; Justice (Ac</w:t>
      </w:r>
      <w:r>
        <w:t>cess to Courts) provisions). This duty is not formal or declaratory: it requires that litigants be afforded an effective means by which a procedure can be created and advanced.</w:t>
      </w:r>
    </w:p>
    <w:p w14:paraId="34A81EB3" w14:textId="77777777" w:rsidR="00A03D3A" w:rsidRDefault="00A03D3A"/>
    <w:p w14:paraId="30AE9770" w14:textId="77777777" w:rsidR="00A03D3A" w:rsidRDefault="002D08DA">
      <w:pPr>
        <w:spacing w:before="80" w:after="80" w:line="276" w:lineRule="auto"/>
        <w:jc w:val="both"/>
      </w:pPr>
      <w:r>
        <w:t>Over a period of more than five months, the Applicant has been unable to estab</w:t>
      </w:r>
      <w:r>
        <w:t>lish any procedural foothold in the English courts, despite physical attendance, multiple written submissions, formal complaints, and institutional escalations. The Lord Chancellor has been placed on notice of this situation through copies transmitted to t</w:t>
      </w:r>
      <w:r>
        <w:t>he Ministry of Justice.</w:t>
      </w:r>
    </w:p>
    <w:p w14:paraId="34F4786F" w14:textId="77777777" w:rsidR="00A03D3A" w:rsidRDefault="00A03D3A"/>
    <w:p w14:paraId="21BCFE83" w14:textId="77777777" w:rsidR="00A03D3A" w:rsidRDefault="002D08DA">
      <w:pPr>
        <w:spacing w:before="80" w:after="80" w:line="276" w:lineRule="auto"/>
        <w:jc w:val="both"/>
      </w:pPr>
      <w:r>
        <w:t>The failure of any arm of the justice system under the Lord Chancellor’s oversight to provide an effective access mechanism — for a matter of documented urgency involving risks to physical safety — constitutes a breach of constitut</w:t>
      </w:r>
      <w:r>
        <w:t>ional duty that is now formally recorded in this notice.</w:t>
      </w:r>
    </w:p>
    <w:p w14:paraId="6A7CA64D" w14:textId="77777777" w:rsidR="00A03D3A" w:rsidRDefault="00A03D3A"/>
    <w:p w14:paraId="4B04D973" w14:textId="77777777" w:rsidR="00A03D3A" w:rsidRDefault="00A03D3A">
      <w:pPr>
        <w:pBdr>
          <w:bottom w:val="single" w:sz="4" w:space="4" w:color="1A1A2E"/>
        </w:pBdr>
        <w:spacing w:before="160" w:after="160"/>
      </w:pPr>
    </w:p>
    <w:p w14:paraId="1416E5D3" w14:textId="77777777" w:rsidR="00A03D3A" w:rsidRDefault="002D08DA">
      <w:pPr>
        <w:pStyle w:val="Heading1"/>
      </w:pPr>
      <w:r>
        <w:t>III. LEGAL BASIS FOR INSTITUTIONAL LIABILITY</w:t>
      </w:r>
    </w:p>
    <w:p w14:paraId="4D7B8959" w14:textId="77777777" w:rsidR="00A03D3A" w:rsidRDefault="00A03D3A"/>
    <w:p w14:paraId="1750EFEE" w14:textId="77777777" w:rsidR="00A03D3A" w:rsidRDefault="002D08DA">
      <w:pPr>
        <w:spacing w:before="80" w:after="80" w:line="276" w:lineRule="auto"/>
        <w:jc w:val="both"/>
      </w:pPr>
      <w:r>
        <w:t xml:space="preserve">The liability of each recipient institution is grounded in the following legal authorities, which are stated here in their specific application to the </w:t>
      </w:r>
      <w:r>
        <w:t>documented facts.</w:t>
      </w:r>
    </w:p>
    <w:p w14:paraId="171133B6" w14:textId="77777777" w:rsidR="00A03D3A" w:rsidRDefault="00A03D3A"/>
    <w:p w14:paraId="09F99414" w14:textId="77777777" w:rsidR="00A03D3A" w:rsidRDefault="002D08DA">
      <w:pPr>
        <w:pStyle w:val="Heading2"/>
      </w:pPr>
      <w:r>
        <w:t>A. Denial of Access to Justice</w:t>
      </w:r>
    </w:p>
    <w:p w14:paraId="46B27744" w14:textId="77777777" w:rsidR="00A03D3A" w:rsidRDefault="00A03D3A"/>
    <w:p w14:paraId="479647CA" w14:textId="77777777" w:rsidR="00A03D3A" w:rsidRDefault="002D08DA">
      <w:pPr>
        <w:spacing w:before="60" w:after="60" w:line="276" w:lineRule="auto"/>
        <w:ind w:left="720" w:hanging="360"/>
      </w:pPr>
      <w:r>
        <w:t xml:space="preserve">—  </w:t>
      </w:r>
      <w:r>
        <w:t xml:space="preserve">R v Lord Chancellor, ex </w:t>
      </w:r>
      <w:proofErr w:type="spellStart"/>
      <w:r>
        <w:t>parte</w:t>
      </w:r>
      <w:proofErr w:type="spellEnd"/>
      <w:r>
        <w:t xml:space="preserve"> Witham [1998] QB 575: access to courts is a constitutional right which may not be restricted without express primary legislation. The Registry’s requirement of GBP 10,000 i</w:t>
      </w:r>
      <w:r>
        <w:t>n fees without directing the Applicant to fee remission constitutes an unlawful restriction.</w:t>
      </w:r>
    </w:p>
    <w:p w14:paraId="6B4CF349" w14:textId="77777777" w:rsidR="00A03D3A" w:rsidRDefault="002D08DA">
      <w:pPr>
        <w:spacing w:before="60" w:after="60" w:line="276" w:lineRule="auto"/>
        <w:ind w:left="720" w:hanging="360"/>
      </w:pPr>
      <w:r>
        <w:t xml:space="preserve">—  </w:t>
      </w:r>
      <w:r>
        <w:t>R (Daly) v Secretary of State for the Home Department [2001] UKHL 26: proportionality governs any restriction on fundamental rights. The restriction applied was</w:t>
      </w:r>
      <w:r>
        <w:t xml:space="preserve"> not proportionate, particularly given that the Applicant’s financial incapacity was itself caused by the acts of the opposing parties.</w:t>
      </w:r>
    </w:p>
    <w:p w14:paraId="021E2EBC" w14:textId="77777777" w:rsidR="00A03D3A" w:rsidRDefault="002D08DA">
      <w:pPr>
        <w:spacing w:before="60" w:after="60" w:line="276" w:lineRule="auto"/>
        <w:ind w:left="720" w:hanging="360"/>
      </w:pPr>
      <w:r>
        <w:t xml:space="preserve">—  </w:t>
      </w:r>
      <w:r>
        <w:t>CPR r.3.1(7) and the Court’s inherent jurisdiction: the Court has express power to dispense with procedural requireme</w:t>
      </w:r>
      <w:r>
        <w:t>nts in cases of urgency and risk to life. This power was not invoked on either occasion.</w:t>
      </w:r>
    </w:p>
    <w:p w14:paraId="5AF39579" w14:textId="77777777" w:rsidR="00A03D3A" w:rsidRDefault="00A03D3A"/>
    <w:p w14:paraId="4DBA1F1F" w14:textId="77777777" w:rsidR="00A03D3A" w:rsidRDefault="002D08DA">
      <w:pPr>
        <w:pStyle w:val="Heading2"/>
      </w:pPr>
      <w:r>
        <w:t>B. Misfeasance in Public Office</w:t>
      </w:r>
    </w:p>
    <w:p w14:paraId="7848C2C6" w14:textId="77777777" w:rsidR="00A03D3A" w:rsidRDefault="00A03D3A"/>
    <w:p w14:paraId="1A650FF5" w14:textId="77777777" w:rsidR="00A03D3A" w:rsidRDefault="002D08DA">
      <w:pPr>
        <w:spacing w:before="60" w:after="60" w:line="276" w:lineRule="auto"/>
        <w:ind w:left="720" w:hanging="360"/>
      </w:pPr>
      <w:r>
        <w:t xml:space="preserve">—  </w:t>
      </w:r>
      <w:r>
        <w:t>Three Rivers DC v Bank of England [2003] 2 AC 1 (House of Lords): misfeasance in public office arises where a public officer, knowing that their act or omission will cause harm to an identifiable individual, acts or omits to act in exercise of public funct</w:t>
      </w:r>
      <w:r>
        <w:t>ions. The documented inaction — in circumstances where each institution was on notice of ongoing danger and financial destruction — satisfies the threshold for this tort.</w:t>
      </w:r>
    </w:p>
    <w:p w14:paraId="3221DE61" w14:textId="77777777" w:rsidR="00A03D3A" w:rsidRDefault="00A03D3A"/>
    <w:p w14:paraId="585D07CD" w14:textId="77777777" w:rsidR="00A03D3A" w:rsidRDefault="002D08DA">
      <w:pPr>
        <w:pStyle w:val="Heading2"/>
      </w:pPr>
      <w:r>
        <w:t>C. Liability for Delay (</w:t>
      </w:r>
      <w:proofErr w:type="spellStart"/>
      <w:r>
        <w:t>Moratoire</w:t>
      </w:r>
      <w:proofErr w:type="spellEnd"/>
      <w:r>
        <w:t>)</w:t>
      </w:r>
    </w:p>
    <w:p w14:paraId="04013824" w14:textId="77777777" w:rsidR="00A03D3A" w:rsidRDefault="00A03D3A"/>
    <w:p w14:paraId="3DD36970" w14:textId="77777777" w:rsidR="00A03D3A" w:rsidRDefault="002D08DA">
      <w:pPr>
        <w:spacing w:before="60" w:after="60" w:line="276" w:lineRule="auto"/>
        <w:ind w:left="720" w:hanging="360"/>
      </w:pPr>
      <w:r>
        <w:t xml:space="preserve">—  </w:t>
      </w:r>
      <w:r>
        <w:t>Senior Courts Act 1981, s.35A: interest on da</w:t>
      </w:r>
      <w:r>
        <w:t>mages runs from the date of the cause of action at the applicable rate (8% per annum in English civil proceedings under the Judgments Act 1838).</w:t>
      </w:r>
    </w:p>
    <w:p w14:paraId="7280B58A" w14:textId="77777777" w:rsidR="00A03D3A" w:rsidRDefault="002D08DA">
      <w:pPr>
        <w:spacing w:before="60" w:after="60" w:line="276" w:lineRule="auto"/>
        <w:ind w:left="720" w:hanging="360"/>
      </w:pPr>
      <w:r>
        <w:t xml:space="preserve">—  </w:t>
      </w:r>
      <w:r>
        <w:t>Scordino v Italy (No.1) [2006] GC ECHR: the European Court of Human Rights awards specific prejudice for the</w:t>
      </w:r>
      <w:r>
        <w:t xml:space="preserve"> duration of procedural obstruction, as an autonomous head of damage independent of the principal claim.</w:t>
      </w:r>
    </w:p>
    <w:p w14:paraId="4EC176C1" w14:textId="77777777" w:rsidR="00A03D3A" w:rsidRDefault="002D08DA">
      <w:pPr>
        <w:spacing w:before="60" w:after="60" w:line="276" w:lineRule="auto"/>
        <w:ind w:left="720" w:hanging="360"/>
      </w:pPr>
      <w:r>
        <w:t xml:space="preserve">—  </w:t>
      </w:r>
      <w:proofErr w:type="spellStart"/>
      <w:r>
        <w:t>Zolotas</w:t>
      </w:r>
      <w:proofErr w:type="spellEnd"/>
      <w:r>
        <w:t xml:space="preserve"> v Greece (No.2) [2013] ECHR: compound interest is applicable in cases involving serious breach of fundamental rights and prolonged instituti</w:t>
      </w:r>
      <w:r>
        <w:t>onal failure.</w:t>
      </w:r>
    </w:p>
    <w:p w14:paraId="6EF59B42" w14:textId="77777777" w:rsidR="00A03D3A" w:rsidRDefault="00A03D3A"/>
    <w:p w14:paraId="5F522850" w14:textId="77777777" w:rsidR="00A03D3A" w:rsidRDefault="002D08DA">
      <w:pPr>
        <w:pStyle w:val="Heading2"/>
      </w:pPr>
      <w:r>
        <w:lastRenderedPageBreak/>
        <w:t>D. Article 6 ECHR and Human Rights Act 1998</w:t>
      </w:r>
    </w:p>
    <w:p w14:paraId="6DE17048" w14:textId="77777777" w:rsidR="00A03D3A" w:rsidRDefault="00A03D3A"/>
    <w:p w14:paraId="7C9D7795" w14:textId="77777777" w:rsidR="00A03D3A" w:rsidRDefault="002D08DA">
      <w:pPr>
        <w:spacing w:before="60" w:after="60" w:line="276" w:lineRule="auto"/>
        <w:ind w:left="720" w:hanging="360"/>
      </w:pPr>
      <w:r>
        <w:t xml:space="preserve">—  </w:t>
      </w:r>
      <w:r>
        <w:t>Article 6(1) ECHR: the right to a fair trial within a reasonable time includes the right to have access to a court that can effectively determine one’s rights. Five months of documented inabili</w:t>
      </w:r>
      <w:r>
        <w:t>ty to file constitutes a prima facie violation.</w:t>
      </w:r>
    </w:p>
    <w:p w14:paraId="40019207" w14:textId="77777777" w:rsidR="00A03D3A" w:rsidRDefault="002D08DA">
      <w:pPr>
        <w:spacing w:before="60" w:after="60" w:line="276" w:lineRule="auto"/>
        <w:ind w:left="720" w:hanging="360"/>
      </w:pPr>
      <w:r>
        <w:t xml:space="preserve">—  </w:t>
      </w:r>
      <w:proofErr w:type="spellStart"/>
      <w:r>
        <w:t>Kuďla</w:t>
      </w:r>
      <w:proofErr w:type="spellEnd"/>
      <w:r>
        <w:t xml:space="preserve"> v Poland [2000] ECHR: the absence of an effective domestic remedy for the breach of Article 6 constitutes an autonomous violation of Article 13. Each institution’s deflection to another authority est</w:t>
      </w:r>
      <w:r>
        <w:t>ablishes the absence of any effective remedy.</w:t>
      </w:r>
    </w:p>
    <w:p w14:paraId="174BFCF9" w14:textId="77777777" w:rsidR="00A03D3A" w:rsidRDefault="002D08DA">
      <w:pPr>
        <w:spacing w:before="60" w:after="60" w:line="276" w:lineRule="auto"/>
        <w:ind w:left="720" w:hanging="360"/>
      </w:pPr>
      <w:r>
        <w:t xml:space="preserve">—  </w:t>
      </w:r>
      <w:proofErr w:type="spellStart"/>
      <w:r>
        <w:t>Ilascu</w:t>
      </w:r>
      <w:proofErr w:type="spellEnd"/>
      <w:r>
        <w:t xml:space="preserve"> and Others v Moldova and Russia [2004] GC ECHR: state authorities that are aware of ongoing violations and fail to take remedial steps engage state responsibility, including for positive obligations.</w:t>
      </w:r>
    </w:p>
    <w:p w14:paraId="59349B8C" w14:textId="77777777" w:rsidR="00A03D3A" w:rsidRDefault="00A03D3A"/>
    <w:p w14:paraId="52402173" w14:textId="77777777" w:rsidR="00A03D3A" w:rsidRDefault="00A03D3A">
      <w:pPr>
        <w:pBdr>
          <w:bottom w:val="single" w:sz="4" w:space="4" w:color="1A1A2E"/>
        </w:pBdr>
        <w:spacing w:before="160" w:after="160"/>
      </w:pPr>
    </w:p>
    <w:p w14:paraId="01501F95" w14:textId="77777777" w:rsidR="00A03D3A" w:rsidRDefault="002D08DA">
      <w:pPr>
        <w:pStyle w:val="Heading1"/>
      </w:pPr>
      <w:r>
        <w:t>IV. QUANTIFICATION OF DELAY DAMAGE</w:t>
      </w:r>
    </w:p>
    <w:p w14:paraId="79D852B2" w14:textId="77777777" w:rsidR="00A03D3A" w:rsidRDefault="00A03D3A"/>
    <w:p w14:paraId="7AE96003" w14:textId="77777777" w:rsidR="00A03D3A" w:rsidRDefault="002D08DA">
      <w:pPr>
        <w:spacing w:before="80" w:after="80" w:line="276" w:lineRule="auto"/>
        <w:jc w:val="both"/>
      </w:pPr>
      <w:r>
        <w:t>The principal claim in the underlying matter has been assessed at €124.4 billion, based on documented economic destruction across multiple projects and jurisdictions over more than a decade, and constituting a conserva</w:t>
      </w:r>
      <w:r>
        <w:t>tive estimate as set out in the 320-page Global Filing transmitted to all three jurisdictions in November 2025.</w:t>
      </w:r>
    </w:p>
    <w:p w14:paraId="6615474D" w14:textId="77777777" w:rsidR="00A03D3A" w:rsidRDefault="00A03D3A"/>
    <w:p w14:paraId="595D4AAF" w14:textId="77777777" w:rsidR="00A03D3A" w:rsidRDefault="002D08DA">
      <w:pPr>
        <w:spacing w:before="80" w:after="80" w:line="276" w:lineRule="auto"/>
        <w:jc w:val="both"/>
      </w:pPr>
      <w:r>
        <w:t>Each month of unjustified institutional inaction generates an identifiable and calculable financial prejudice, independent of the principal cla</w:t>
      </w:r>
      <w:r>
        <w:t>im, arising directly from the continuation of the situation that effective judicial intervention would have arrested.</w:t>
      </w:r>
    </w:p>
    <w:p w14:paraId="6B07031F" w14:textId="77777777" w:rsidR="00A03D3A" w:rsidRDefault="00A03D3A"/>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2200"/>
        <w:gridCol w:w="1400"/>
        <w:gridCol w:w="1613"/>
        <w:gridCol w:w="1613"/>
      </w:tblGrid>
      <w:tr w:rsidR="00A03D3A" w14:paraId="44E1CB87" w14:textId="77777777">
        <w:tblPrEx>
          <w:tblCellMar>
            <w:top w:w="0" w:type="dxa"/>
            <w:bottom w:w="0" w:type="dxa"/>
          </w:tblCellMar>
        </w:tblPrEx>
        <w:trPr>
          <w:tblHeader/>
        </w:trPr>
        <w:tc>
          <w:tcPr>
            <w:tcW w:w="2200" w:type="dxa"/>
            <w:tcBorders>
              <w:top w:val="single" w:sz="1" w:space="0" w:color="CCCCCC"/>
              <w:left w:val="single" w:sz="1" w:space="0" w:color="CCCCCC"/>
              <w:bottom w:val="single" w:sz="1" w:space="0" w:color="CCCCCC"/>
              <w:right w:val="single" w:sz="1" w:space="0" w:color="CCCCCC"/>
            </w:tcBorders>
            <w:shd w:val="clear" w:color="auto" w:fill="1A1A2E"/>
            <w:tcMar>
              <w:top w:w="80" w:type="dxa"/>
              <w:left w:w="120" w:type="dxa"/>
              <w:bottom w:w="80" w:type="dxa"/>
              <w:right w:w="120" w:type="dxa"/>
            </w:tcMar>
          </w:tcPr>
          <w:p w14:paraId="070FBD84" w14:textId="77777777" w:rsidR="00A03D3A" w:rsidRDefault="002D08DA">
            <w:r>
              <w:rPr>
                <w:rFonts w:ascii="Arial" w:eastAsia="Arial" w:hAnsi="Arial" w:cs="Arial"/>
                <w:b/>
                <w:bCs/>
                <w:sz w:val="18"/>
                <w:szCs w:val="18"/>
              </w:rPr>
              <w:t>Period</w:t>
            </w:r>
          </w:p>
        </w:tc>
        <w:tc>
          <w:tcPr>
            <w:tcW w:w="2200" w:type="dxa"/>
            <w:tcBorders>
              <w:top w:val="single" w:sz="1" w:space="0" w:color="CCCCCC"/>
              <w:left w:val="single" w:sz="1" w:space="0" w:color="CCCCCC"/>
              <w:bottom w:val="single" w:sz="1" w:space="0" w:color="CCCCCC"/>
              <w:right w:val="single" w:sz="1" w:space="0" w:color="CCCCCC"/>
            </w:tcBorders>
            <w:shd w:val="clear" w:color="auto" w:fill="1A1A2E"/>
            <w:tcMar>
              <w:top w:w="80" w:type="dxa"/>
              <w:left w:w="120" w:type="dxa"/>
              <w:bottom w:w="80" w:type="dxa"/>
              <w:right w:w="120" w:type="dxa"/>
            </w:tcMar>
          </w:tcPr>
          <w:p w14:paraId="01E6312C" w14:textId="77777777" w:rsidR="00A03D3A" w:rsidRDefault="002D08DA">
            <w:r>
              <w:rPr>
                <w:rFonts w:ascii="Arial" w:eastAsia="Arial" w:hAnsi="Arial" w:cs="Arial"/>
                <w:b/>
                <w:bCs/>
                <w:sz w:val="18"/>
                <w:szCs w:val="18"/>
              </w:rPr>
              <w:t>Institution</w:t>
            </w:r>
          </w:p>
        </w:tc>
        <w:tc>
          <w:tcPr>
            <w:tcW w:w="1400" w:type="dxa"/>
            <w:tcBorders>
              <w:top w:val="single" w:sz="1" w:space="0" w:color="CCCCCC"/>
              <w:left w:val="single" w:sz="1" w:space="0" w:color="CCCCCC"/>
              <w:bottom w:val="single" w:sz="1" w:space="0" w:color="CCCCCC"/>
              <w:right w:val="single" w:sz="1" w:space="0" w:color="CCCCCC"/>
            </w:tcBorders>
            <w:shd w:val="clear" w:color="auto" w:fill="1A1A2E"/>
            <w:tcMar>
              <w:top w:w="80" w:type="dxa"/>
              <w:left w:w="120" w:type="dxa"/>
              <w:bottom w:w="80" w:type="dxa"/>
              <w:right w:w="120" w:type="dxa"/>
            </w:tcMar>
          </w:tcPr>
          <w:p w14:paraId="76F90BA5" w14:textId="77777777" w:rsidR="00A03D3A" w:rsidRDefault="002D08DA">
            <w:pPr>
              <w:jc w:val="center"/>
            </w:pPr>
            <w:r>
              <w:rPr>
                <w:rFonts w:ascii="Arial" w:eastAsia="Arial" w:hAnsi="Arial" w:cs="Arial"/>
                <w:b/>
                <w:bCs/>
                <w:sz w:val="18"/>
                <w:szCs w:val="18"/>
              </w:rPr>
              <w:t>Months</w:t>
            </w:r>
          </w:p>
        </w:tc>
        <w:tc>
          <w:tcPr>
            <w:tcW w:w="1613" w:type="dxa"/>
            <w:tcBorders>
              <w:top w:val="single" w:sz="1" w:space="0" w:color="CCCCCC"/>
              <w:left w:val="single" w:sz="1" w:space="0" w:color="CCCCCC"/>
              <w:bottom w:val="single" w:sz="1" w:space="0" w:color="CCCCCC"/>
              <w:right w:val="single" w:sz="1" w:space="0" w:color="CCCCCC"/>
            </w:tcBorders>
            <w:shd w:val="clear" w:color="auto" w:fill="1A1A2E"/>
            <w:tcMar>
              <w:top w:w="80" w:type="dxa"/>
              <w:left w:w="120" w:type="dxa"/>
              <w:bottom w:w="80" w:type="dxa"/>
              <w:right w:w="120" w:type="dxa"/>
            </w:tcMar>
          </w:tcPr>
          <w:p w14:paraId="4B40AEA8" w14:textId="77777777" w:rsidR="00A03D3A" w:rsidRDefault="002D08DA">
            <w:pPr>
              <w:jc w:val="center"/>
            </w:pPr>
            <w:r>
              <w:rPr>
                <w:rFonts w:ascii="Arial" w:eastAsia="Arial" w:hAnsi="Arial" w:cs="Arial"/>
                <w:b/>
                <w:bCs/>
                <w:sz w:val="18"/>
                <w:szCs w:val="18"/>
              </w:rPr>
              <w:t>Delay Damage (4% p.a.)</w:t>
            </w:r>
          </w:p>
        </w:tc>
        <w:tc>
          <w:tcPr>
            <w:tcW w:w="1613" w:type="dxa"/>
            <w:tcBorders>
              <w:top w:val="single" w:sz="1" w:space="0" w:color="CCCCCC"/>
              <w:left w:val="single" w:sz="1" w:space="0" w:color="CCCCCC"/>
              <w:bottom w:val="single" w:sz="1" w:space="0" w:color="CCCCCC"/>
              <w:right w:val="single" w:sz="1" w:space="0" w:color="CCCCCC"/>
            </w:tcBorders>
            <w:shd w:val="clear" w:color="auto" w:fill="1A1A2E"/>
            <w:tcMar>
              <w:top w:w="80" w:type="dxa"/>
              <w:left w:w="120" w:type="dxa"/>
              <w:bottom w:w="80" w:type="dxa"/>
              <w:right w:w="120" w:type="dxa"/>
            </w:tcMar>
          </w:tcPr>
          <w:p w14:paraId="0B793B3A" w14:textId="77777777" w:rsidR="00A03D3A" w:rsidRDefault="002D08DA">
            <w:pPr>
              <w:jc w:val="center"/>
            </w:pPr>
            <w:r>
              <w:rPr>
                <w:rFonts w:ascii="Arial" w:eastAsia="Arial" w:hAnsi="Arial" w:cs="Arial"/>
                <w:b/>
                <w:bCs/>
                <w:sz w:val="18"/>
                <w:szCs w:val="18"/>
              </w:rPr>
              <w:t>Delay Damage (8% p.a.)</w:t>
            </w:r>
          </w:p>
        </w:tc>
      </w:tr>
      <w:tr w:rsidR="00A03D3A" w14:paraId="67D22063"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549E15F" w14:textId="77777777" w:rsidR="00A03D3A" w:rsidRDefault="002D08DA">
            <w:r>
              <w:rPr>
                <w:rFonts w:ascii="Arial" w:eastAsia="Arial" w:hAnsi="Arial" w:cs="Arial"/>
                <w:sz w:val="18"/>
                <w:szCs w:val="18"/>
              </w:rPr>
              <w:t>Oct 2025 → Mar 2026</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E57BF7F" w14:textId="77777777" w:rsidR="00A03D3A" w:rsidRDefault="002D08DA">
            <w:r>
              <w:rPr>
                <w:rFonts w:ascii="Arial" w:eastAsia="Arial" w:hAnsi="Arial" w:cs="Arial"/>
                <w:sz w:val="18"/>
                <w:szCs w:val="18"/>
              </w:rPr>
              <w:t>King’s Bench / HMCTS</w:t>
            </w:r>
          </w:p>
        </w:tc>
        <w:tc>
          <w:tcPr>
            <w:tcW w:w="1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75A37A4" w14:textId="77777777" w:rsidR="00A03D3A" w:rsidRDefault="002D08DA">
            <w:pPr>
              <w:jc w:val="center"/>
            </w:pPr>
            <w:r>
              <w:rPr>
                <w:rFonts w:ascii="Arial" w:eastAsia="Arial" w:hAnsi="Arial" w:cs="Arial"/>
                <w:sz w:val="18"/>
                <w:szCs w:val="18"/>
              </w:rPr>
              <w:t>~5.5</w:t>
            </w:r>
          </w:p>
        </w:tc>
        <w:tc>
          <w:tcPr>
            <w:tcW w:w="161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B155383" w14:textId="77777777" w:rsidR="00A03D3A" w:rsidRDefault="002D08DA">
            <w:pPr>
              <w:jc w:val="center"/>
            </w:pPr>
            <w:r>
              <w:rPr>
                <w:rFonts w:ascii="Arial" w:eastAsia="Arial" w:hAnsi="Arial" w:cs="Arial"/>
                <w:sz w:val="18"/>
                <w:szCs w:val="18"/>
              </w:rPr>
              <w:t>~€228M</w:t>
            </w:r>
          </w:p>
        </w:tc>
        <w:tc>
          <w:tcPr>
            <w:tcW w:w="161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C31A6A1" w14:textId="77777777" w:rsidR="00A03D3A" w:rsidRDefault="002D08DA">
            <w:pPr>
              <w:jc w:val="center"/>
            </w:pPr>
            <w:r>
              <w:rPr>
                <w:rFonts w:ascii="Arial" w:eastAsia="Arial" w:hAnsi="Arial" w:cs="Arial"/>
                <w:sz w:val="18"/>
                <w:szCs w:val="18"/>
              </w:rPr>
              <w:t>~€455M</w:t>
            </w:r>
          </w:p>
        </w:tc>
      </w:tr>
      <w:tr w:rsidR="00A03D3A" w14:paraId="2A01428F"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331751F" w14:textId="77777777" w:rsidR="00A03D3A" w:rsidRDefault="002D08DA">
            <w:r>
              <w:rPr>
                <w:rFonts w:ascii="Arial" w:eastAsia="Arial" w:hAnsi="Arial" w:cs="Arial"/>
                <w:sz w:val="18"/>
                <w:szCs w:val="18"/>
              </w:rPr>
              <w:t>Jan 2026 → Mar 2026</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B66E31B" w14:textId="77777777" w:rsidR="00A03D3A" w:rsidRDefault="002D08DA">
            <w:r>
              <w:rPr>
                <w:rFonts w:ascii="Arial" w:eastAsia="Arial" w:hAnsi="Arial" w:cs="Arial"/>
                <w:sz w:val="18"/>
                <w:szCs w:val="18"/>
              </w:rPr>
              <w:t>JCIO (50320/26 + 50341/26)</w:t>
            </w:r>
          </w:p>
        </w:tc>
        <w:tc>
          <w:tcPr>
            <w:tcW w:w="1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523492B" w14:textId="77777777" w:rsidR="00A03D3A" w:rsidRDefault="002D08DA">
            <w:pPr>
              <w:jc w:val="center"/>
            </w:pPr>
            <w:r>
              <w:rPr>
                <w:rFonts w:ascii="Arial" w:eastAsia="Arial" w:hAnsi="Arial" w:cs="Arial"/>
                <w:sz w:val="18"/>
                <w:szCs w:val="18"/>
              </w:rPr>
              <w:t>~2.5</w:t>
            </w:r>
          </w:p>
        </w:tc>
        <w:tc>
          <w:tcPr>
            <w:tcW w:w="161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5BAD69B" w14:textId="77777777" w:rsidR="00A03D3A" w:rsidRDefault="002D08DA">
            <w:pPr>
              <w:jc w:val="center"/>
            </w:pPr>
            <w:r>
              <w:rPr>
                <w:rFonts w:ascii="Arial" w:eastAsia="Arial" w:hAnsi="Arial" w:cs="Arial"/>
                <w:sz w:val="18"/>
                <w:szCs w:val="18"/>
              </w:rPr>
              <w:t>~€104M</w:t>
            </w:r>
          </w:p>
        </w:tc>
        <w:tc>
          <w:tcPr>
            <w:tcW w:w="161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BC7C5F0" w14:textId="77777777" w:rsidR="00A03D3A" w:rsidRDefault="002D08DA">
            <w:pPr>
              <w:jc w:val="center"/>
            </w:pPr>
            <w:r>
              <w:rPr>
                <w:rFonts w:ascii="Arial" w:eastAsia="Arial" w:hAnsi="Arial" w:cs="Arial"/>
                <w:sz w:val="18"/>
                <w:szCs w:val="18"/>
              </w:rPr>
              <w:t>~€207M</w:t>
            </w:r>
          </w:p>
        </w:tc>
      </w:tr>
      <w:tr w:rsidR="00A03D3A" w14:paraId="7935E9ED"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D632E89" w14:textId="77777777" w:rsidR="00A03D3A" w:rsidRDefault="002D08DA">
            <w:r>
              <w:rPr>
                <w:rFonts w:ascii="Arial" w:eastAsia="Arial" w:hAnsi="Arial" w:cs="Arial"/>
                <w:sz w:val="18"/>
                <w:szCs w:val="18"/>
              </w:rPr>
              <w:t>Oct 2025 → Mar 2026</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0FCF54B" w14:textId="77777777" w:rsidR="00A03D3A" w:rsidRDefault="002D08DA">
            <w:r>
              <w:rPr>
                <w:rFonts w:ascii="Arial" w:eastAsia="Arial" w:hAnsi="Arial" w:cs="Arial"/>
                <w:sz w:val="18"/>
                <w:szCs w:val="18"/>
              </w:rPr>
              <w:t>Lord Chancellor / MoJ</w:t>
            </w:r>
          </w:p>
        </w:tc>
        <w:tc>
          <w:tcPr>
            <w:tcW w:w="1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35B0892" w14:textId="77777777" w:rsidR="00A03D3A" w:rsidRDefault="002D08DA">
            <w:pPr>
              <w:jc w:val="center"/>
            </w:pPr>
            <w:r>
              <w:rPr>
                <w:rFonts w:ascii="Arial" w:eastAsia="Arial" w:hAnsi="Arial" w:cs="Arial"/>
                <w:sz w:val="18"/>
                <w:szCs w:val="18"/>
              </w:rPr>
              <w:t>~5.5</w:t>
            </w:r>
          </w:p>
        </w:tc>
        <w:tc>
          <w:tcPr>
            <w:tcW w:w="161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664D070" w14:textId="77777777" w:rsidR="00A03D3A" w:rsidRDefault="002D08DA">
            <w:pPr>
              <w:jc w:val="center"/>
            </w:pPr>
            <w:r>
              <w:rPr>
                <w:rFonts w:ascii="Arial" w:eastAsia="Arial" w:hAnsi="Arial" w:cs="Arial"/>
                <w:sz w:val="18"/>
                <w:szCs w:val="18"/>
              </w:rPr>
              <w:t>~€228M</w:t>
            </w:r>
          </w:p>
        </w:tc>
        <w:tc>
          <w:tcPr>
            <w:tcW w:w="161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49D14DA" w14:textId="77777777" w:rsidR="00A03D3A" w:rsidRDefault="002D08DA">
            <w:pPr>
              <w:jc w:val="center"/>
            </w:pPr>
            <w:r>
              <w:rPr>
                <w:rFonts w:ascii="Arial" w:eastAsia="Arial" w:hAnsi="Arial" w:cs="Arial"/>
                <w:sz w:val="18"/>
                <w:szCs w:val="18"/>
              </w:rPr>
              <w:t>~€455M</w:t>
            </w:r>
          </w:p>
        </w:tc>
      </w:tr>
      <w:tr w:rsidR="00A03D3A" w14:paraId="6A51352C"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45C172B" w14:textId="77777777" w:rsidR="00A03D3A" w:rsidRDefault="00A03D3A"/>
        </w:tc>
        <w:tc>
          <w:tcPr>
            <w:tcW w:w="2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BF1A003" w14:textId="77777777" w:rsidR="00A03D3A" w:rsidRDefault="002D08DA">
            <w:r>
              <w:rPr>
                <w:rFonts w:ascii="Arial" w:eastAsia="Arial" w:hAnsi="Arial" w:cs="Arial"/>
                <w:b/>
                <w:bCs/>
                <w:sz w:val="18"/>
                <w:szCs w:val="18"/>
              </w:rPr>
              <w:t>TOTAL (non-cumulative)</w:t>
            </w:r>
          </w:p>
        </w:tc>
        <w:tc>
          <w:tcPr>
            <w:tcW w:w="14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F9499A8" w14:textId="77777777" w:rsidR="00A03D3A" w:rsidRDefault="00A03D3A"/>
        </w:tc>
        <w:tc>
          <w:tcPr>
            <w:tcW w:w="1613"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2D7CAEE" w14:textId="77777777" w:rsidR="00A03D3A" w:rsidRDefault="002D08DA">
            <w:pPr>
              <w:jc w:val="center"/>
            </w:pPr>
            <w:r>
              <w:rPr>
                <w:rFonts w:ascii="Arial" w:eastAsia="Arial" w:hAnsi="Arial" w:cs="Arial"/>
                <w:b/>
                <w:bCs/>
                <w:sz w:val="18"/>
                <w:szCs w:val="18"/>
              </w:rPr>
              <w:t>~€560M</w:t>
            </w:r>
          </w:p>
        </w:tc>
        <w:tc>
          <w:tcPr>
            <w:tcW w:w="1613"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B90BA8B" w14:textId="77777777" w:rsidR="00A03D3A" w:rsidRDefault="002D08DA">
            <w:pPr>
              <w:jc w:val="center"/>
            </w:pPr>
            <w:r>
              <w:rPr>
                <w:rFonts w:ascii="Arial" w:eastAsia="Arial" w:hAnsi="Arial" w:cs="Arial"/>
                <w:b/>
                <w:bCs/>
                <w:sz w:val="18"/>
                <w:szCs w:val="18"/>
              </w:rPr>
              <w:t>~€1.1Bn</w:t>
            </w:r>
          </w:p>
        </w:tc>
      </w:tr>
    </w:tbl>
    <w:p w14:paraId="4871BF30" w14:textId="77777777" w:rsidR="00A03D3A" w:rsidRDefault="00A03D3A"/>
    <w:p w14:paraId="4EC064FC" w14:textId="77777777" w:rsidR="00A03D3A" w:rsidRDefault="002D08DA">
      <w:pPr>
        <w:spacing w:before="80" w:after="80" w:line="276" w:lineRule="auto"/>
        <w:jc w:val="both"/>
      </w:pPr>
      <w:r>
        <w:rPr>
          <w:i/>
          <w:iCs/>
        </w:rPr>
        <w:t xml:space="preserve">Note: These calculations apply the statutory rate only, without compound interest and without </w:t>
      </w:r>
      <w:proofErr w:type="spellStart"/>
      <w:r>
        <w:rPr>
          <w:i/>
          <w:iCs/>
        </w:rPr>
        <w:t>capitalisation</w:t>
      </w:r>
      <w:proofErr w:type="spellEnd"/>
      <w:r>
        <w:rPr>
          <w:i/>
          <w:iCs/>
        </w:rPr>
        <w:t xml:space="preserve"> of consequential losses arising from the continuation of financial destruction during the period of institutional inaction. The figures are conserv</w:t>
      </w:r>
      <w:r>
        <w:rPr>
          <w:i/>
          <w:iCs/>
        </w:rPr>
        <w:t>ative. They do not include the Applicant’s lost income, ongoing personal expenses resulting from forced mobility for security reasons, or the amplification of the principal damage during the period of obstruction.</w:t>
      </w:r>
    </w:p>
    <w:p w14:paraId="45EEFB80" w14:textId="77777777" w:rsidR="00A03D3A" w:rsidRDefault="00A03D3A"/>
    <w:p w14:paraId="7C33432D" w14:textId="77777777" w:rsidR="00A03D3A" w:rsidRDefault="002D08DA">
      <w:pPr>
        <w:spacing w:before="80" w:after="80" w:line="276" w:lineRule="auto"/>
        <w:jc w:val="both"/>
      </w:pPr>
      <w:r>
        <w:t>Each institution’s proportionate share in</w:t>
      </w:r>
      <w:r>
        <w:t xml:space="preserve"> this delay damage will be determined by reference to its specific documented inaction and its contribution to the chain of causation that prevented </w:t>
      </w:r>
      <w:r>
        <w:lastRenderedPageBreak/>
        <w:t>any effective judicial access. The Applicant does not assert joint and several liability at this stage; rat</w:t>
      </w:r>
      <w:r>
        <w:t>her, each institution is placed on notice of its independent and identifiable contribution to the continuing prejudice.</w:t>
      </w:r>
    </w:p>
    <w:p w14:paraId="55A501D8" w14:textId="77777777" w:rsidR="00A03D3A" w:rsidRDefault="00A03D3A"/>
    <w:p w14:paraId="364495E8" w14:textId="77777777" w:rsidR="00A03D3A" w:rsidRDefault="00A03D3A">
      <w:pPr>
        <w:pBdr>
          <w:bottom w:val="single" w:sz="4" w:space="4" w:color="1A1A2E"/>
        </w:pBdr>
        <w:spacing w:before="160" w:after="160"/>
      </w:pPr>
    </w:p>
    <w:p w14:paraId="0037C857" w14:textId="77777777" w:rsidR="00A03D3A" w:rsidRDefault="002D08DA">
      <w:pPr>
        <w:pStyle w:val="Heading1"/>
      </w:pPr>
      <w:r>
        <w:t>V. DEMANDS — LAST OPPORTUNITY TO ACT</w:t>
      </w:r>
    </w:p>
    <w:p w14:paraId="770D6A06" w14:textId="77777777" w:rsidR="00A03D3A" w:rsidRDefault="00A03D3A"/>
    <w:p w14:paraId="58A95FC4" w14:textId="77777777" w:rsidR="00A03D3A" w:rsidRDefault="002D08DA">
      <w:pPr>
        <w:spacing w:before="80" w:after="80" w:line="276" w:lineRule="auto"/>
        <w:jc w:val="both"/>
      </w:pPr>
      <w:r>
        <w:t>Each institution is formally called upon to respond within fifteen (15) calendar days of the date of this notice, as follows:</w:t>
      </w:r>
    </w:p>
    <w:p w14:paraId="74CBC687" w14:textId="77777777" w:rsidR="00A03D3A" w:rsidRDefault="00A03D3A"/>
    <w:p w14:paraId="488C3190" w14:textId="77777777" w:rsidR="00A03D3A" w:rsidRDefault="002D08DA">
      <w:pPr>
        <w:pStyle w:val="Heading2"/>
      </w:pPr>
      <w:r>
        <w:t>To the President of the King’s Bench Division and HMCTS:</w:t>
      </w:r>
    </w:p>
    <w:p w14:paraId="4556395A" w14:textId="77777777" w:rsidR="00A03D3A" w:rsidRDefault="00A03D3A"/>
    <w:p w14:paraId="17E31BF2" w14:textId="77777777" w:rsidR="00A03D3A" w:rsidRDefault="002D08DA">
      <w:pPr>
        <w:spacing w:before="60" w:after="60" w:line="276" w:lineRule="auto"/>
        <w:ind w:left="720" w:hanging="360"/>
      </w:pPr>
      <w:r>
        <w:t xml:space="preserve">—  </w:t>
      </w:r>
      <w:r>
        <w:t>Confirm in writing whether any procedure exists in relation to the f</w:t>
      </w:r>
      <w:r>
        <w:t>ilings and physical attendances of November 2025;</w:t>
      </w:r>
    </w:p>
    <w:p w14:paraId="7EB3DC1E" w14:textId="77777777" w:rsidR="00A03D3A" w:rsidRDefault="002D08DA">
      <w:pPr>
        <w:spacing w:before="60" w:after="60" w:line="276" w:lineRule="auto"/>
        <w:ind w:left="720" w:hanging="360"/>
      </w:pPr>
      <w:r>
        <w:t xml:space="preserve">—  </w:t>
      </w:r>
      <w:r>
        <w:t xml:space="preserve">If no procedure exists, provide explicit written instructions as to the precise mechanism by which the Applicant may validly file an emergency application, including any fee remission pathway applicable </w:t>
      </w:r>
      <w:r>
        <w:t>to his situation;</w:t>
      </w:r>
    </w:p>
    <w:p w14:paraId="5510567F" w14:textId="77777777" w:rsidR="00A03D3A" w:rsidRDefault="002D08DA">
      <w:pPr>
        <w:spacing w:before="60" w:after="60" w:line="276" w:lineRule="auto"/>
        <w:ind w:left="720" w:hanging="360"/>
      </w:pPr>
      <w:r>
        <w:t xml:space="preserve">—  </w:t>
      </w:r>
      <w:r>
        <w:t>Confirm whether CCTV footage and security access logs for 26 November 2025 at the Rolls Building have been preserved and are available for judicial inspection;</w:t>
      </w:r>
    </w:p>
    <w:p w14:paraId="6ED319AE" w14:textId="77777777" w:rsidR="00A03D3A" w:rsidRDefault="002D08DA">
      <w:pPr>
        <w:spacing w:before="60" w:after="60" w:line="276" w:lineRule="auto"/>
        <w:ind w:left="720" w:hanging="360"/>
      </w:pPr>
      <w:r>
        <w:t xml:space="preserve">—  </w:t>
      </w:r>
      <w:r>
        <w:t>Confirm the identity and role of the individuals present during the inte</w:t>
      </w:r>
      <w:r>
        <w:t>raction of 26 November 2025;</w:t>
      </w:r>
    </w:p>
    <w:p w14:paraId="338D165B" w14:textId="77777777" w:rsidR="00A03D3A" w:rsidRDefault="002D08DA">
      <w:pPr>
        <w:spacing w:before="60" w:after="60" w:line="276" w:lineRule="auto"/>
        <w:ind w:left="720" w:hanging="360"/>
      </w:pPr>
      <w:r>
        <w:t xml:space="preserve">—  </w:t>
      </w:r>
      <w:r>
        <w:t>Provide a written response to the Emergency Re-Filing submitted on 21 January 2026, including case reference or grounds for non-registration.</w:t>
      </w:r>
    </w:p>
    <w:p w14:paraId="469F7B7F" w14:textId="77777777" w:rsidR="00A03D3A" w:rsidRDefault="00A03D3A"/>
    <w:p w14:paraId="6F519A30" w14:textId="77777777" w:rsidR="00A03D3A" w:rsidRDefault="002D08DA">
      <w:pPr>
        <w:pStyle w:val="Heading2"/>
      </w:pPr>
      <w:r>
        <w:t>To the JCIO Director:</w:t>
      </w:r>
    </w:p>
    <w:p w14:paraId="28952896" w14:textId="77777777" w:rsidR="00A03D3A" w:rsidRDefault="00A03D3A"/>
    <w:p w14:paraId="7D42D3C9" w14:textId="77777777" w:rsidR="00A03D3A" w:rsidRDefault="002D08DA">
      <w:pPr>
        <w:spacing w:before="60" w:after="60" w:line="276" w:lineRule="auto"/>
        <w:ind w:left="720" w:hanging="360"/>
      </w:pPr>
      <w:r>
        <w:t xml:space="preserve">—  </w:t>
      </w:r>
      <w:r>
        <w:t>Provide the precise legal basis for the determination o</w:t>
      </w:r>
      <w:r>
        <w:t>f 13 February 2026 that the complaint falls outside remit;</w:t>
      </w:r>
    </w:p>
    <w:p w14:paraId="07C3C94C" w14:textId="77777777" w:rsidR="00A03D3A" w:rsidRDefault="002D08DA">
      <w:pPr>
        <w:spacing w:before="60" w:after="60" w:line="276" w:lineRule="auto"/>
        <w:ind w:left="720" w:hanging="360"/>
      </w:pPr>
      <w:r>
        <w:t xml:space="preserve">—  </w:t>
      </w:r>
      <w:r>
        <w:t>Confirm in writing whether the conflict-of-interest allegation was substantively reviewed, and if so, by whom and with what outcome;</w:t>
      </w:r>
    </w:p>
    <w:p w14:paraId="7D0E2513" w14:textId="77777777" w:rsidR="00A03D3A" w:rsidRDefault="002D08DA">
      <w:pPr>
        <w:spacing w:before="60" w:after="60" w:line="276" w:lineRule="auto"/>
        <w:ind w:left="720" w:hanging="360"/>
      </w:pPr>
      <w:r>
        <w:t xml:space="preserve">—  </w:t>
      </w:r>
      <w:r>
        <w:t>Confirm whether a preliminary conduct screening occurred in relation to each of the three conduct elements identified in the Applicant’s response of 17 February 2026;</w:t>
      </w:r>
    </w:p>
    <w:p w14:paraId="22B13A26" w14:textId="77777777" w:rsidR="00A03D3A" w:rsidRDefault="002D08DA">
      <w:pPr>
        <w:spacing w:before="60" w:after="60" w:line="276" w:lineRule="auto"/>
        <w:ind w:left="720" w:hanging="360"/>
      </w:pPr>
      <w:r>
        <w:t xml:space="preserve">—  </w:t>
      </w:r>
      <w:r>
        <w:t>Confirm the current status of both references 50320/26 and 50341/26.</w:t>
      </w:r>
    </w:p>
    <w:p w14:paraId="04107B2E" w14:textId="77777777" w:rsidR="00A03D3A" w:rsidRDefault="00A03D3A"/>
    <w:p w14:paraId="0752501B" w14:textId="77777777" w:rsidR="00A03D3A" w:rsidRDefault="002D08DA">
      <w:pPr>
        <w:pStyle w:val="Heading2"/>
      </w:pPr>
      <w:r>
        <w:t>To the Lord Chan</w:t>
      </w:r>
      <w:r>
        <w:t>cellor / Ministry of Justice:</w:t>
      </w:r>
    </w:p>
    <w:p w14:paraId="7BD7DEB7" w14:textId="77777777" w:rsidR="00A03D3A" w:rsidRDefault="00A03D3A"/>
    <w:p w14:paraId="23881A8D" w14:textId="77777777" w:rsidR="00A03D3A" w:rsidRDefault="002D08DA">
      <w:pPr>
        <w:spacing w:before="60" w:after="60" w:line="276" w:lineRule="auto"/>
        <w:ind w:left="720" w:hanging="360"/>
      </w:pPr>
      <w:r>
        <w:t xml:space="preserve">—  </w:t>
      </w:r>
      <w:r>
        <w:t>Confirm what steps the Ministry intends to take to ensure that the Applicant has effective access to an emergency judicial mechanism, consistent with constitutional duty under the Constitutional Reform Act 2005 and Article</w:t>
      </w:r>
      <w:r>
        <w:t xml:space="preserve"> 6 ECHR;</w:t>
      </w:r>
    </w:p>
    <w:p w14:paraId="376F67AB" w14:textId="77777777" w:rsidR="00A03D3A" w:rsidRDefault="002D08DA">
      <w:pPr>
        <w:spacing w:before="60" w:after="60" w:line="276" w:lineRule="auto"/>
        <w:ind w:left="720" w:hanging="360"/>
      </w:pPr>
      <w:r>
        <w:lastRenderedPageBreak/>
        <w:t xml:space="preserve">—  </w:t>
      </w:r>
      <w:r>
        <w:t>Confirm whether the Ministry has been appraised of the five-month documented failure to register any emergency filing, and what oversight action, if any, has been taken.</w:t>
      </w:r>
    </w:p>
    <w:p w14:paraId="47E8D9CC" w14:textId="77777777" w:rsidR="00A03D3A" w:rsidRDefault="00A03D3A"/>
    <w:p w14:paraId="4AF8364F" w14:textId="77777777" w:rsidR="00A03D3A" w:rsidRDefault="00A03D3A">
      <w:pPr>
        <w:pBdr>
          <w:bottom w:val="single" w:sz="4" w:space="4" w:color="1A1A2E"/>
        </w:pBdr>
        <w:spacing w:before="160" w:after="160"/>
      </w:pPr>
    </w:p>
    <w:p w14:paraId="2F484E51" w14:textId="77777777" w:rsidR="00A03D3A" w:rsidRDefault="002D08DA">
      <w:pPr>
        <w:pStyle w:val="Heading1"/>
      </w:pPr>
      <w:r>
        <w:t>VI. CONSEQUENCES OF NON-RESPONSE</w:t>
      </w:r>
    </w:p>
    <w:p w14:paraId="03F13632" w14:textId="77777777" w:rsidR="00A03D3A" w:rsidRDefault="00A03D3A"/>
    <w:p w14:paraId="57B8DB8D" w14:textId="77777777" w:rsidR="00A03D3A" w:rsidRDefault="002D08DA">
      <w:pPr>
        <w:spacing w:before="80" w:after="80" w:line="276" w:lineRule="auto"/>
        <w:jc w:val="both"/>
      </w:pPr>
      <w:r>
        <w:t>Should any institution fail to respond substantively within fifteen (15) calendar days of this notice, the Applicant will take the following steps, without further notice:</w:t>
      </w:r>
    </w:p>
    <w:p w14:paraId="69CBA3AF" w14:textId="77777777" w:rsidR="00A03D3A" w:rsidRDefault="00A03D3A"/>
    <w:p w14:paraId="44536D41" w14:textId="77777777" w:rsidR="00A03D3A" w:rsidRDefault="002D08DA">
      <w:pPr>
        <w:spacing w:before="60" w:after="60" w:line="276" w:lineRule="auto"/>
        <w:ind w:left="720" w:hanging="360"/>
      </w:pPr>
      <w:r>
        <w:t xml:space="preserve">—  </w:t>
      </w:r>
      <w:r>
        <w:t>File an application for judicial review before the Divisional Court, against HMC</w:t>
      </w:r>
      <w:r>
        <w:t>TS and the Lord Chancellor, for failure to provide effective access to justice, relying upon this notice and the complete documented record as evidence;</w:t>
      </w:r>
    </w:p>
    <w:p w14:paraId="4F933A0B" w14:textId="77777777" w:rsidR="00A03D3A" w:rsidRDefault="002D08DA">
      <w:pPr>
        <w:spacing w:before="60" w:after="60" w:line="276" w:lineRule="auto"/>
        <w:ind w:left="720" w:hanging="360"/>
      </w:pPr>
      <w:r>
        <w:t xml:space="preserve">—  </w:t>
      </w:r>
      <w:r>
        <w:t>Submit this notice and its annexes to the European Court of Human Rights as additional evidence of c</w:t>
      </w:r>
      <w:r>
        <w:t>ontinuing systemic obstruction, in support of the pending application;</w:t>
      </w:r>
    </w:p>
    <w:p w14:paraId="5E269342" w14:textId="77777777" w:rsidR="00A03D3A" w:rsidRDefault="002D08DA">
      <w:pPr>
        <w:spacing w:before="60" w:after="60" w:line="276" w:lineRule="auto"/>
        <w:ind w:left="720" w:hanging="360"/>
      </w:pPr>
      <w:r>
        <w:t xml:space="preserve">—  </w:t>
      </w:r>
      <w:r>
        <w:t>Transmit this notice to United States federal authorities (FBI / DOJ / SDNY) as supplementary evidence of transnational institutional obstruction, in support of ongoing federal-level</w:t>
      </w:r>
      <w:r>
        <w:t xml:space="preserve"> engagements;</w:t>
      </w:r>
    </w:p>
    <w:p w14:paraId="08EC2DF6" w14:textId="77777777" w:rsidR="00A03D3A" w:rsidRDefault="002D08DA">
      <w:pPr>
        <w:spacing w:before="60" w:after="60" w:line="276" w:lineRule="auto"/>
        <w:ind w:left="720" w:hanging="360"/>
      </w:pPr>
      <w:r>
        <w:t xml:space="preserve">—  </w:t>
      </w:r>
      <w:r>
        <w:t>Formally designate each non-responding institution as a participant in the chain of causation of the documented prejudice, and quantify their proportionate contribution in the proceedings accordingly;</w:t>
      </w:r>
    </w:p>
    <w:p w14:paraId="67ABE7D1" w14:textId="77777777" w:rsidR="00A03D3A" w:rsidRDefault="002D08DA">
      <w:pPr>
        <w:spacing w:before="60" w:after="60" w:line="276" w:lineRule="auto"/>
        <w:ind w:left="720" w:hanging="360"/>
      </w:pPr>
      <w:r>
        <w:t xml:space="preserve">—  </w:t>
      </w:r>
      <w:r>
        <w:t xml:space="preserve">Seek an order for preservation and </w:t>
      </w:r>
      <w:r>
        <w:t>disclosure of all institutional records, communications, and logs relating to the Applicant’s submissions, including electronic records, CCTV footage, and registry logs.</w:t>
      </w:r>
    </w:p>
    <w:p w14:paraId="48E938A2" w14:textId="77777777" w:rsidR="00A03D3A" w:rsidRDefault="00A03D3A"/>
    <w:p w14:paraId="362E746C" w14:textId="77777777" w:rsidR="00A03D3A" w:rsidRDefault="002D08DA">
      <w:pPr>
        <w:spacing w:before="80" w:after="80" w:line="276" w:lineRule="auto"/>
        <w:jc w:val="both"/>
      </w:pPr>
      <w:r>
        <w:t>Non-response to this notice will be treated, in all proceedings, as tacit acknowledgm</w:t>
      </w:r>
      <w:r>
        <w:t>ent of the facts stated herein.</w:t>
      </w:r>
    </w:p>
    <w:p w14:paraId="2F351758" w14:textId="77777777" w:rsidR="00A03D3A" w:rsidRDefault="00A03D3A"/>
    <w:p w14:paraId="22CD6915" w14:textId="77777777" w:rsidR="00A03D3A" w:rsidRDefault="00A03D3A">
      <w:pPr>
        <w:pBdr>
          <w:bottom w:val="single" w:sz="4" w:space="4" w:color="1A1A2E"/>
        </w:pBdr>
        <w:spacing w:before="160" w:after="160"/>
      </w:pPr>
    </w:p>
    <w:p w14:paraId="3D450380" w14:textId="77777777" w:rsidR="00A03D3A" w:rsidRDefault="002D08DA">
      <w:pPr>
        <w:pStyle w:val="Heading1"/>
      </w:pPr>
      <w:r>
        <w:t>VII. COMMUNICATION PROTOCOL</w:t>
      </w:r>
    </w:p>
    <w:p w14:paraId="1BA41A2C" w14:textId="77777777" w:rsidR="00A03D3A" w:rsidRDefault="00A03D3A"/>
    <w:p w14:paraId="018CC734" w14:textId="77777777" w:rsidR="00A03D3A" w:rsidRDefault="002D08DA">
      <w:pPr>
        <w:spacing w:before="80" w:after="80" w:line="276" w:lineRule="auto"/>
        <w:jc w:val="both"/>
      </w:pPr>
      <w:r>
        <w:t>Given the documented history of interception affecting postal, courier, and electronic communications in this matter, this notice is transmitted simultaneously by email to the official addresse</w:t>
      </w:r>
      <w:r>
        <w:t>s of each recipient institution, with delivery tracking, and constitutes the primary channel of communication.</w:t>
      </w:r>
    </w:p>
    <w:p w14:paraId="10C2D8BB" w14:textId="77777777" w:rsidR="00A03D3A" w:rsidRDefault="00A03D3A"/>
    <w:p w14:paraId="1E013250" w14:textId="77777777" w:rsidR="00A03D3A" w:rsidRDefault="002D08DA">
      <w:pPr>
        <w:spacing w:before="80" w:after="80" w:line="276" w:lineRule="auto"/>
        <w:jc w:val="both"/>
      </w:pPr>
      <w:r>
        <w:t>All responses are to be directed exclusively to the following addresses:</w:t>
      </w:r>
    </w:p>
    <w:p w14:paraId="2EF3E4C4" w14:textId="77777777" w:rsidR="00A03D3A" w:rsidRDefault="00A03D3A"/>
    <w:p w14:paraId="5D9C1026" w14:textId="77777777" w:rsidR="00A03D3A" w:rsidRDefault="002D08DA">
      <w:pPr>
        <w:spacing w:before="60" w:after="60" w:line="276" w:lineRule="auto"/>
        <w:ind w:left="720"/>
        <w:jc w:val="both"/>
      </w:pPr>
      <w:r>
        <w:t>pierre.deglaire@gmail.com</w:t>
      </w:r>
    </w:p>
    <w:p w14:paraId="47247B4D" w14:textId="77777777" w:rsidR="00A03D3A" w:rsidRDefault="002D08DA">
      <w:pPr>
        <w:spacing w:before="60" w:after="60" w:line="276" w:lineRule="auto"/>
        <w:ind w:left="720"/>
        <w:jc w:val="both"/>
      </w:pPr>
      <w:r>
        <w:lastRenderedPageBreak/>
        <w:t>deglaire.aoic@gmail.com</w:t>
      </w:r>
    </w:p>
    <w:p w14:paraId="5D9B13EF" w14:textId="77777777" w:rsidR="00A03D3A" w:rsidRDefault="00A03D3A"/>
    <w:p w14:paraId="2158A54C" w14:textId="77777777" w:rsidR="00A03D3A" w:rsidRDefault="002D08DA">
      <w:pPr>
        <w:spacing w:before="80" w:after="80" w:line="276" w:lineRule="auto"/>
        <w:jc w:val="both"/>
      </w:pPr>
      <w:r>
        <w:t>Responses transmitted to any other channel, or transmitted to third parties without copy to the above addresses, will not be treated as having been received by the Applicant for the purposes of the fifteen-day response period.</w:t>
      </w:r>
    </w:p>
    <w:p w14:paraId="60CA168B" w14:textId="77777777" w:rsidR="00A03D3A" w:rsidRDefault="00A03D3A"/>
    <w:p w14:paraId="43CFCCB4" w14:textId="77777777" w:rsidR="00A03D3A" w:rsidRDefault="00A03D3A">
      <w:pPr>
        <w:pBdr>
          <w:bottom w:val="single" w:sz="4" w:space="4" w:color="1A1A2E"/>
        </w:pBdr>
        <w:spacing w:before="160" w:after="160"/>
      </w:pPr>
    </w:p>
    <w:p w14:paraId="15ECF90C" w14:textId="77777777" w:rsidR="00A03D3A" w:rsidRDefault="002D08DA">
      <w:pPr>
        <w:pStyle w:val="Heading1"/>
      </w:pPr>
      <w:r>
        <w:t>VI</w:t>
      </w:r>
      <w:r>
        <w:t>II. CLOSING STATEMENT</w:t>
      </w:r>
    </w:p>
    <w:p w14:paraId="3F1B0B2A" w14:textId="77777777" w:rsidR="00A03D3A" w:rsidRDefault="00A03D3A"/>
    <w:p w14:paraId="0B8820E1" w14:textId="77777777" w:rsidR="00A03D3A" w:rsidRDefault="002D08DA">
      <w:pPr>
        <w:spacing w:before="80" w:after="80" w:line="276" w:lineRule="auto"/>
        <w:jc w:val="both"/>
      </w:pPr>
      <w:r>
        <w:t>This notice is transmitted in a spirit of procedural loyalty and institutional good faith. The Applicant has, over more than five months, exhausted every administrative and procedural channel available to him without obtaining a sing</w:t>
      </w:r>
      <w:r>
        <w:t>le substantive response from the English judicial or administrative system.</w:t>
      </w:r>
    </w:p>
    <w:p w14:paraId="00620A52" w14:textId="77777777" w:rsidR="00A03D3A" w:rsidRDefault="00A03D3A"/>
    <w:p w14:paraId="4C329034" w14:textId="77777777" w:rsidR="00A03D3A" w:rsidRDefault="002D08DA">
      <w:pPr>
        <w:spacing w:before="80" w:after="80" w:line="276" w:lineRule="auto"/>
        <w:jc w:val="both"/>
      </w:pPr>
      <w:r>
        <w:t>He does not seek to create conflict with these institutions. He seeks the exercise of their legal functions, to which he is entitled as a matter of constitutional right and intern</w:t>
      </w:r>
      <w:r>
        <w:t>ational obligation.</w:t>
      </w:r>
    </w:p>
    <w:p w14:paraId="4AD2FF5F" w14:textId="77777777" w:rsidR="00A03D3A" w:rsidRDefault="00A03D3A"/>
    <w:p w14:paraId="1B9BB7A1" w14:textId="77777777" w:rsidR="00A03D3A" w:rsidRDefault="002D08DA">
      <w:pPr>
        <w:spacing w:before="80" w:after="80" w:line="276" w:lineRule="auto"/>
        <w:jc w:val="both"/>
      </w:pPr>
      <w:r>
        <w:t>The gravity of the underlying matter — involving documented threats to physical safety, decade-long economic destruction valued at €124.4 billion, and systemic denial of access to justice across multiple jurisdictions — leaves the Appl</w:t>
      </w:r>
      <w:r>
        <w:t>icant with no alternative but to treat each further day of institutional silence as a continuing and aggravated breach, generating identifiable and cumulative financial prejudice for which institutional accountability will be sought through every available</w:t>
      </w:r>
      <w:r>
        <w:t xml:space="preserve"> legal mechanism.</w:t>
      </w:r>
    </w:p>
    <w:p w14:paraId="3FE06658" w14:textId="77777777" w:rsidR="00A03D3A" w:rsidRDefault="00A03D3A"/>
    <w:p w14:paraId="1EC3030E" w14:textId="77777777" w:rsidR="00A03D3A" w:rsidRDefault="002D08DA">
      <w:pPr>
        <w:spacing w:before="80" w:after="80" w:line="276" w:lineRule="auto"/>
        <w:jc w:val="both"/>
      </w:pPr>
      <w:r>
        <w:t>This notice stands as the final procedural opportunity for each institution to act within its mandate before formal proceedings are initiated.</w:t>
      </w:r>
    </w:p>
    <w:p w14:paraId="3A58F5B2" w14:textId="77777777" w:rsidR="00A03D3A" w:rsidRDefault="00A03D3A"/>
    <w:p w14:paraId="01D67DB1" w14:textId="77777777" w:rsidR="00A03D3A" w:rsidRDefault="00A03D3A"/>
    <w:p w14:paraId="1CA0A27B" w14:textId="77777777" w:rsidR="00A03D3A" w:rsidRPr="002A6FF9" w:rsidRDefault="002D08DA">
      <w:pPr>
        <w:spacing w:before="200" w:after="40"/>
        <w:rPr>
          <w:lang w:val="fr-FR"/>
        </w:rPr>
      </w:pPr>
      <w:proofErr w:type="spellStart"/>
      <w:r w:rsidRPr="002A6FF9">
        <w:rPr>
          <w:lang w:val="fr-FR"/>
        </w:rPr>
        <w:t>Yours</w:t>
      </w:r>
      <w:proofErr w:type="spellEnd"/>
      <w:r w:rsidRPr="002A6FF9">
        <w:rPr>
          <w:lang w:val="fr-FR"/>
        </w:rPr>
        <w:t xml:space="preserve"> </w:t>
      </w:r>
      <w:proofErr w:type="spellStart"/>
      <w:r w:rsidRPr="002A6FF9">
        <w:rPr>
          <w:lang w:val="fr-FR"/>
        </w:rPr>
        <w:t>faithfully</w:t>
      </w:r>
      <w:proofErr w:type="spellEnd"/>
      <w:r w:rsidRPr="002A6FF9">
        <w:rPr>
          <w:lang w:val="fr-FR"/>
        </w:rPr>
        <w:t>,</w:t>
      </w:r>
    </w:p>
    <w:p w14:paraId="5985FE7C" w14:textId="77777777" w:rsidR="00A03D3A" w:rsidRPr="002A6FF9" w:rsidRDefault="00A03D3A">
      <w:pPr>
        <w:rPr>
          <w:lang w:val="fr-FR"/>
        </w:rPr>
      </w:pPr>
    </w:p>
    <w:p w14:paraId="0480B590" w14:textId="77777777" w:rsidR="00A03D3A" w:rsidRPr="002A6FF9" w:rsidRDefault="002D08DA">
      <w:pPr>
        <w:spacing w:before="80" w:after="40"/>
        <w:rPr>
          <w:lang w:val="fr-FR"/>
        </w:rPr>
      </w:pPr>
      <w:r w:rsidRPr="002A6FF9">
        <w:rPr>
          <w:b/>
          <w:bCs/>
          <w:sz w:val="24"/>
          <w:szCs w:val="24"/>
          <w:lang w:val="fr-FR"/>
        </w:rPr>
        <w:t xml:space="preserve">Pierre </w:t>
      </w:r>
      <w:proofErr w:type="spellStart"/>
      <w:r w:rsidRPr="002A6FF9">
        <w:rPr>
          <w:b/>
          <w:bCs/>
          <w:sz w:val="24"/>
          <w:szCs w:val="24"/>
          <w:lang w:val="fr-FR"/>
        </w:rPr>
        <w:t>Deglaire</w:t>
      </w:r>
      <w:proofErr w:type="spellEnd"/>
    </w:p>
    <w:p w14:paraId="58C218F9" w14:textId="77777777" w:rsidR="00A03D3A" w:rsidRPr="002A6FF9" w:rsidRDefault="002D08DA">
      <w:pPr>
        <w:spacing w:before="40" w:after="40"/>
        <w:rPr>
          <w:lang w:val="fr-FR"/>
        </w:rPr>
      </w:pPr>
      <w:r w:rsidRPr="002A6FF9">
        <w:rPr>
          <w:sz w:val="20"/>
          <w:szCs w:val="20"/>
          <w:lang w:val="fr-FR"/>
        </w:rPr>
        <w:t>7 rue Guillaume Apollinaire, 33700 Mérignac, France</w:t>
      </w:r>
    </w:p>
    <w:p w14:paraId="2944E31F" w14:textId="77777777" w:rsidR="00A03D3A" w:rsidRPr="002A6FF9" w:rsidRDefault="002D08DA">
      <w:pPr>
        <w:spacing w:before="40" w:after="40"/>
        <w:rPr>
          <w:lang w:val="fr-FR"/>
        </w:rPr>
      </w:pPr>
      <w:r w:rsidRPr="002A6FF9">
        <w:rPr>
          <w:sz w:val="20"/>
          <w:szCs w:val="20"/>
          <w:lang w:val="fr-FR"/>
        </w:rPr>
        <w:t>+33 6 63 90 13 01</w:t>
      </w:r>
    </w:p>
    <w:p w14:paraId="52C9EDDC" w14:textId="77777777" w:rsidR="00A03D3A" w:rsidRPr="002A6FF9" w:rsidRDefault="002D08DA">
      <w:pPr>
        <w:spacing w:before="40" w:after="40"/>
        <w:rPr>
          <w:lang w:val="fr-FR"/>
        </w:rPr>
      </w:pPr>
      <w:r w:rsidRPr="002A6FF9">
        <w:rPr>
          <w:sz w:val="20"/>
          <w:szCs w:val="20"/>
          <w:lang w:val="fr-FR"/>
        </w:rPr>
        <w:t>pierre.deglaire@gmail.com | deglaire.aoic@gmail.com</w:t>
      </w:r>
    </w:p>
    <w:p w14:paraId="27B6E358" w14:textId="77777777" w:rsidR="00A03D3A" w:rsidRDefault="002D08DA">
      <w:pPr>
        <w:spacing w:before="40" w:after="40"/>
      </w:pPr>
      <w:r>
        <w:rPr>
          <w:sz w:val="20"/>
          <w:szCs w:val="20"/>
        </w:rPr>
        <w:t>15 March 2026</w:t>
      </w:r>
    </w:p>
    <w:p w14:paraId="2E3C7951" w14:textId="77777777" w:rsidR="00A03D3A" w:rsidRDefault="00A03D3A"/>
    <w:p w14:paraId="6106E3CD" w14:textId="77777777" w:rsidR="00A03D3A" w:rsidRDefault="00A03D3A">
      <w:pPr>
        <w:pBdr>
          <w:bottom w:val="single" w:sz="4" w:space="4" w:color="1A1A2E"/>
        </w:pBdr>
        <w:spacing w:before="160" w:after="160"/>
      </w:pPr>
    </w:p>
    <w:p w14:paraId="605E2555" w14:textId="77777777" w:rsidR="00A03D3A" w:rsidRDefault="002D08DA">
      <w:pPr>
        <w:spacing w:before="120" w:after="80"/>
        <w:jc w:val="center"/>
      </w:pPr>
      <w:r>
        <w:rPr>
          <w:rFonts w:ascii="Arial" w:eastAsia="Arial" w:hAnsi="Arial" w:cs="Arial"/>
          <w:b/>
          <w:bCs/>
          <w:color w:val="1A1A2E"/>
          <w:sz w:val="20"/>
          <w:szCs w:val="20"/>
        </w:rPr>
        <w:t>ANNEXES</w:t>
      </w:r>
    </w:p>
    <w:p w14:paraId="16CB235F" w14:textId="77777777" w:rsidR="00A03D3A" w:rsidRDefault="002D08DA">
      <w:pPr>
        <w:spacing w:before="60" w:after="40"/>
      </w:pPr>
      <w:r>
        <w:rPr>
          <w:sz w:val="20"/>
          <w:szCs w:val="20"/>
        </w:rPr>
        <w:t>Annex 1 — Statement of Facts (19 January 2026)</w:t>
      </w:r>
    </w:p>
    <w:p w14:paraId="0A189FCC" w14:textId="77777777" w:rsidR="00A03D3A" w:rsidRDefault="002D08DA">
      <w:pPr>
        <w:spacing w:before="60" w:after="40"/>
      </w:pPr>
      <w:r>
        <w:rPr>
          <w:sz w:val="20"/>
          <w:szCs w:val="20"/>
        </w:rPr>
        <w:t>Annex 2 — Emergency Re-Filing Application (19 January 2026)</w:t>
      </w:r>
    </w:p>
    <w:p w14:paraId="6DB715FF" w14:textId="77777777" w:rsidR="00A03D3A" w:rsidRDefault="002D08DA">
      <w:pPr>
        <w:spacing w:before="60" w:after="40"/>
      </w:pPr>
      <w:r>
        <w:rPr>
          <w:sz w:val="20"/>
          <w:szCs w:val="20"/>
        </w:rPr>
        <w:t>Annex 3 — JCIO Registration Confirmation, Ref. 50341/26 (5 February 2026)</w:t>
      </w:r>
    </w:p>
    <w:p w14:paraId="23D3BD04" w14:textId="627F2F35" w:rsidR="00A03D3A" w:rsidRDefault="002D08DA">
      <w:pPr>
        <w:spacing w:before="60" w:after="40"/>
      </w:pPr>
      <w:bookmarkStart w:id="0" w:name="_Hlk224518312"/>
      <w:r>
        <w:rPr>
          <w:sz w:val="20"/>
          <w:szCs w:val="20"/>
        </w:rPr>
        <w:lastRenderedPageBreak/>
        <w:t>Annex 4</w:t>
      </w:r>
      <w:r w:rsidR="002A6FF9">
        <w:rPr>
          <w:sz w:val="20"/>
          <w:szCs w:val="20"/>
        </w:rPr>
        <w:t>,5</w:t>
      </w:r>
      <w:r>
        <w:rPr>
          <w:sz w:val="20"/>
          <w:szCs w:val="20"/>
        </w:rPr>
        <w:t xml:space="preserve"> — </w:t>
      </w:r>
      <w:r>
        <w:rPr>
          <w:sz w:val="20"/>
          <w:szCs w:val="20"/>
        </w:rPr>
        <w:t xml:space="preserve">initial communication </w:t>
      </w:r>
      <w:r>
        <w:rPr>
          <w:sz w:val="20"/>
          <w:szCs w:val="20"/>
        </w:rPr>
        <w:t xml:space="preserve">to </w:t>
      </w:r>
      <w:r>
        <w:rPr>
          <w:sz w:val="20"/>
          <w:szCs w:val="20"/>
        </w:rPr>
        <w:t>HMCTS</w:t>
      </w:r>
      <w:r w:rsidR="002A6FF9">
        <w:rPr>
          <w:sz w:val="20"/>
          <w:szCs w:val="20"/>
        </w:rPr>
        <w:t xml:space="preserve"> </w:t>
      </w:r>
      <w:r>
        <w:rPr>
          <w:sz w:val="20"/>
          <w:szCs w:val="20"/>
        </w:rPr>
        <w:t>(17 February</w:t>
      </w:r>
      <w:r w:rsidR="002A6FF9">
        <w:rPr>
          <w:sz w:val="20"/>
          <w:szCs w:val="20"/>
        </w:rPr>
        <w:t xml:space="preserve"> </w:t>
      </w:r>
      <w:r>
        <w:rPr>
          <w:sz w:val="20"/>
          <w:szCs w:val="20"/>
        </w:rPr>
        <w:t>2026)</w:t>
      </w:r>
    </w:p>
    <w:bookmarkEnd w:id="0"/>
    <w:p w14:paraId="0D071328" w14:textId="2FC3D782" w:rsidR="00A03D3A" w:rsidRDefault="002D08DA">
      <w:pPr>
        <w:spacing w:before="60" w:after="40"/>
      </w:pPr>
      <w:r>
        <w:rPr>
          <w:sz w:val="20"/>
          <w:szCs w:val="20"/>
        </w:rPr>
        <w:t xml:space="preserve">Annex </w:t>
      </w:r>
      <w:r w:rsidR="002A6FF9">
        <w:rPr>
          <w:sz w:val="20"/>
          <w:szCs w:val="20"/>
        </w:rPr>
        <w:t>6</w:t>
      </w:r>
      <w:r>
        <w:rPr>
          <w:sz w:val="20"/>
          <w:szCs w:val="20"/>
        </w:rPr>
        <w:t xml:space="preserve"> — Response to JCIO Jurisdictional Refusal</w:t>
      </w:r>
      <w:r>
        <w:rPr>
          <w:sz w:val="20"/>
          <w:szCs w:val="20"/>
        </w:rPr>
        <w:t xml:space="preserve"> (17 February 2026)</w:t>
      </w:r>
    </w:p>
    <w:p w14:paraId="63768AB2" w14:textId="428926BC" w:rsidR="00A03D3A" w:rsidRDefault="002D08DA">
      <w:pPr>
        <w:spacing w:before="60" w:after="40"/>
        <w:rPr>
          <w:sz w:val="20"/>
          <w:szCs w:val="20"/>
        </w:rPr>
      </w:pPr>
      <w:r>
        <w:rPr>
          <w:sz w:val="20"/>
          <w:szCs w:val="20"/>
        </w:rPr>
        <w:t xml:space="preserve">Annex </w:t>
      </w:r>
      <w:r w:rsidR="002A6FF9">
        <w:rPr>
          <w:sz w:val="20"/>
          <w:szCs w:val="20"/>
        </w:rPr>
        <w:t>7</w:t>
      </w:r>
      <w:r>
        <w:rPr>
          <w:sz w:val="20"/>
          <w:szCs w:val="20"/>
        </w:rPr>
        <w:t xml:space="preserve"> — HMCTS Procedural Deflection Response (19 February 2026)</w:t>
      </w:r>
    </w:p>
    <w:p w14:paraId="7BDBB8A0" w14:textId="2E7881BF" w:rsidR="002A6FF9" w:rsidRDefault="002A6FF9" w:rsidP="002A6FF9">
      <w:pPr>
        <w:spacing w:before="60" w:after="40"/>
      </w:pPr>
      <w:r>
        <w:rPr>
          <w:sz w:val="20"/>
          <w:szCs w:val="20"/>
        </w:rPr>
        <w:t xml:space="preserve">Annex </w:t>
      </w:r>
      <w:r>
        <w:rPr>
          <w:sz w:val="20"/>
          <w:szCs w:val="20"/>
        </w:rPr>
        <w:t>8</w:t>
      </w:r>
      <w:r>
        <w:rPr>
          <w:sz w:val="20"/>
          <w:szCs w:val="20"/>
        </w:rPr>
        <w:t xml:space="preserve"> — </w:t>
      </w:r>
      <w:r w:rsidR="007E77F0">
        <w:rPr>
          <w:sz w:val="20"/>
          <w:szCs w:val="20"/>
        </w:rPr>
        <w:t xml:space="preserve">Response to </w:t>
      </w:r>
      <w:r>
        <w:rPr>
          <w:sz w:val="20"/>
          <w:szCs w:val="20"/>
        </w:rPr>
        <w:t>HMCTS</w:t>
      </w:r>
      <w:r w:rsidR="002D08DA">
        <w:rPr>
          <w:sz w:val="20"/>
          <w:szCs w:val="20"/>
        </w:rPr>
        <w:t xml:space="preserve">’s </w:t>
      </w:r>
      <w:r w:rsidR="007E77F0">
        <w:rPr>
          <w:sz w:val="20"/>
          <w:szCs w:val="20"/>
        </w:rPr>
        <w:t>letter of the</w:t>
      </w:r>
      <w:r w:rsidRPr="002A6FF9">
        <w:rPr>
          <w:sz w:val="20"/>
          <w:szCs w:val="20"/>
        </w:rPr>
        <w:t xml:space="preserve"> </w:t>
      </w:r>
      <w:r>
        <w:rPr>
          <w:sz w:val="20"/>
          <w:szCs w:val="20"/>
        </w:rPr>
        <w:t>19 February 2026 (</w:t>
      </w:r>
      <w:r w:rsidR="007E77F0">
        <w:rPr>
          <w:sz w:val="20"/>
          <w:szCs w:val="20"/>
        </w:rPr>
        <w:t>21</w:t>
      </w:r>
      <w:r>
        <w:rPr>
          <w:sz w:val="20"/>
          <w:szCs w:val="20"/>
        </w:rPr>
        <w:t xml:space="preserve"> February 2026)</w:t>
      </w:r>
    </w:p>
    <w:p w14:paraId="55B3AC19" w14:textId="62D53927" w:rsidR="00A03D3A" w:rsidRDefault="002D08DA">
      <w:pPr>
        <w:spacing w:before="60" w:after="40"/>
      </w:pPr>
      <w:r>
        <w:rPr>
          <w:sz w:val="20"/>
          <w:szCs w:val="20"/>
        </w:rPr>
        <w:t xml:space="preserve">Annex </w:t>
      </w:r>
      <w:r w:rsidR="002A6FF9">
        <w:rPr>
          <w:sz w:val="20"/>
          <w:szCs w:val="20"/>
        </w:rPr>
        <w:t>10</w:t>
      </w:r>
      <w:r>
        <w:rPr>
          <w:sz w:val="20"/>
          <w:szCs w:val="20"/>
        </w:rPr>
        <w:t xml:space="preserve"> — Global Filing (320 pages) — available upon secure transmission</w:t>
      </w:r>
    </w:p>
    <w:sectPr w:rsidR="00A03D3A">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683E2B"/>
    <w:multiLevelType w:val="hybridMultilevel"/>
    <w:tmpl w:val="80AA8360"/>
    <w:lvl w:ilvl="0" w:tplc="FFFFFFFF">
      <w:start w:val="1"/>
      <w:numFmt w:val="bullet"/>
      <w:lvlText w:val="●"/>
      <w:lvlJc w:val="left"/>
      <w:pPr>
        <w:ind w:left="720" w:hanging="360"/>
      </w:pPr>
    </w:lvl>
    <w:lvl w:ilvl="1" w:tplc="FFFFFFFF">
      <w:start w:val="1"/>
      <w:numFmt w:val="bullet"/>
      <w:lvlText w:val="○"/>
      <w:lvlJc w:val="left"/>
      <w:pPr>
        <w:ind w:left="1440" w:hanging="360"/>
      </w:pPr>
    </w:lvl>
    <w:lvl w:ilvl="2" w:tplc="FFFFFFFF">
      <w:start w:val="1"/>
      <w:numFmt w:val="bullet"/>
      <w:lvlText w:val="■"/>
      <w:lvlJc w:val="left"/>
      <w:pPr>
        <w:ind w:left="2160" w:hanging="360"/>
      </w:pPr>
    </w:lvl>
    <w:lvl w:ilvl="3" w:tplc="FFFFFFFF">
      <w:start w:val="1"/>
      <w:numFmt w:val="bullet"/>
      <w:lvlText w:val="●"/>
      <w:lvlJc w:val="left"/>
      <w:pPr>
        <w:ind w:left="2880" w:hanging="360"/>
      </w:pPr>
    </w:lvl>
    <w:lvl w:ilvl="4" w:tplc="FFFFFFFF">
      <w:start w:val="1"/>
      <w:numFmt w:val="bullet"/>
      <w:lvlText w:val="○"/>
      <w:lvlJc w:val="left"/>
      <w:pPr>
        <w:ind w:left="3600" w:hanging="360"/>
      </w:pPr>
    </w:lvl>
    <w:lvl w:ilvl="5" w:tplc="FFFFFFFF">
      <w:start w:val="1"/>
      <w:numFmt w:val="bullet"/>
      <w:lvlText w:val="■"/>
      <w:lvlJc w:val="left"/>
      <w:pPr>
        <w:ind w:left="4320" w:hanging="360"/>
      </w:pPr>
    </w:lvl>
    <w:lvl w:ilvl="6" w:tplc="FFFFFFFF">
      <w:start w:val="1"/>
      <w:numFmt w:val="bullet"/>
      <w:lvlText w:val="●"/>
      <w:lvlJc w:val="left"/>
      <w:pPr>
        <w:ind w:left="5040" w:hanging="360"/>
      </w:pPr>
    </w:lvl>
    <w:lvl w:ilvl="7" w:tplc="FFFFFFFF">
      <w:start w:val="1"/>
      <w:numFmt w:val="bullet"/>
      <w:lvlText w:val="●"/>
      <w:lvlJc w:val="left"/>
      <w:pPr>
        <w:ind w:left="5760" w:hanging="360"/>
      </w:pPr>
    </w:lvl>
    <w:lvl w:ilvl="8" w:tplc="FFFFFFFF">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D3A"/>
    <w:rsid w:val="002A6FF9"/>
    <w:rsid w:val="002D08DA"/>
    <w:rsid w:val="007E77F0"/>
    <w:rsid w:val="00A03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DF1EA"/>
  <w15:docId w15:val="{FAF60069-5AFA-4165-8BF8-65CA051D8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Georgia" w:hAnsi="Georgia" w:cs="Georgia"/>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60"/>
      <w:outlineLvl w:val="0"/>
    </w:pPr>
    <w:rPr>
      <w:b/>
      <w:bCs/>
      <w:color w:val="1A1A2E"/>
      <w:sz w:val="26"/>
      <w:szCs w:val="26"/>
    </w:rPr>
  </w:style>
  <w:style w:type="paragraph" w:styleId="Heading2">
    <w:name w:val="heading 2"/>
    <w:uiPriority w:val="9"/>
    <w:unhideWhenUsed/>
    <w:qFormat/>
    <w:pPr>
      <w:spacing w:before="240" w:after="120"/>
      <w:outlineLvl w:val="1"/>
    </w:pPr>
    <w:rPr>
      <w:b/>
      <w:bCs/>
      <w:color w:val="16213E"/>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2949</Words>
  <Characters>16815</Characters>
  <Application>Microsoft Office Word</Application>
  <DocSecurity>0</DocSecurity>
  <Lines>140</Lines>
  <Paragraphs>39</Paragraphs>
  <ScaleCrop>false</ScaleCrop>
  <Company/>
  <LinksUpToDate>false</LinksUpToDate>
  <CharactersWithSpaces>19725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ADMIN</cp:lastModifiedBy>
  <cp:revision>4</cp:revision>
  <dcterms:created xsi:type="dcterms:W3CDTF">2026-03-15T07:36:00Z</dcterms:created>
  <dcterms:modified xsi:type="dcterms:W3CDTF">2026-03-15T18:53:00Z</dcterms:modified>
</cp:coreProperties>
</file>